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cs="方正小标宋简体" w:asciiTheme="majorEastAsia" w:hAnsiTheme="majorEastAsia" w:eastAsiaTheme="majorEastAsia"/>
          <w:b/>
          <w:sz w:val="44"/>
          <w:szCs w:val="44"/>
        </w:rPr>
      </w:pPr>
      <w:r>
        <w:rPr>
          <w:rFonts w:hint="eastAsia" w:ascii="方正小标宋简体" w:hAnsi="方正小标宋简体" w:eastAsia="方正小标宋简体" w:cs="方正小标宋简体"/>
          <w:b w:val="0"/>
          <w:bCs/>
          <w:sz w:val="44"/>
          <w:szCs w:val="44"/>
          <w:lang w:val="en-US" w:eastAsia="zh-CN"/>
        </w:rPr>
        <w:t>济南润易集团</w:t>
      </w:r>
      <w:r>
        <w:rPr>
          <w:rFonts w:hint="eastAsia" w:ascii="方正小标宋简体" w:hAnsi="方正小标宋简体" w:eastAsia="方正小标宋简体" w:cs="方正小标宋简体"/>
          <w:b w:val="0"/>
          <w:bCs/>
          <w:sz w:val="44"/>
          <w:szCs w:val="44"/>
        </w:rPr>
        <w:t>“十四五”发展战略和规划</w:t>
      </w: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pStyle w:val="2"/>
        <w:rPr>
          <w:rFonts w:hint="eastAsia" w:ascii="方正小标宋简体" w:hAnsi="方正小标宋简体" w:eastAsia="方正小标宋简体" w:cs="方正小标宋简体"/>
          <w:b w:val="0"/>
          <w:bCs/>
          <w:sz w:val="44"/>
          <w:szCs w:val="44"/>
          <w:lang w:val="en-US" w:eastAsia="zh-CN"/>
        </w:rPr>
      </w:pPr>
    </w:p>
    <w:p>
      <w:pPr>
        <w:rPr>
          <w:rFonts w:hint="eastAsia" w:ascii="方正小标宋简体" w:hAnsi="方正小标宋简体" w:eastAsia="方正小标宋简体" w:cs="方正小标宋简体"/>
          <w:b w:val="0"/>
          <w:bCs/>
          <w:sz w:val="44"/>
          <w:szCs w:val="44"/>
          <w:lang w:val="en-US" w:eastAsia="zh-CN"/>
        </w:rPr>
      </w:pPr>
    </w:p>
    <w:p>
      <w:pPr>
        <w:pStyle w:val="2"/>
        <w:rPr>
          <w:rFonts w:hint="eastAsia" w:ascii="方正小标宋简体" w:hAnsi="方正小标宋简体" w:eastAsia="方正小标宋简体" w:cs="方正小标宋简体"/>
          <w:b w:val="0"/>
          <w:bCs/>
          <w:sz w:val="44"/>
          <w:szCs w:val="44"/>
          <w:lang w:val="en-US" w:eastAsia="zh-CN"/>
        </w:rPr>
      </w:pPr>
    </w:p>
    <w:p>
      <w:pPr>
        <w:jc w:val="center"/>
        <w:rPr>
          <w:rFonts w:hint="default"/>
          <w:lang w:val="en-US" w:eastAsia="zh-CN"/>
        </w:rPr>
      </w:pPr>
      <w:r>
        <w:rPr>
          <w:rFonts w:hint="eastAsia" w:ascii="方正小标宋简体" w:hAnsi="方正小标宋简体" w:eastAsia="方正小标宋简体" w:cs="方正小标宋简体"/>
          <w:b w:val="0"/>
          <w:bCs/>
          <w:sz w:val="36"/>
          <w:szCs w:val="36"/>
          <w:lang w:val="en-US" w:eastAsia="zh-CN"/>
        </w:rPr>
        <w:t>2021年3月</w:t>
      </w:r>
    </w:p>
    <w:p>
      <w:pPr>
        <w:spacing w:line="520" w:lineRule="exact"/>
        <w:jc w:val="both"/>
        <w:rPr>
          <w:rFonts w:hint="eastAsia" w:ascii="方正小标宋简体" w:hAnsi="方正小标宋简体" w:eastAsia="方正小标宋简体" w:cs="方正小标宋简体"/>
          <w:b w:val="0"/>
          <w:bCs/>
          <w:sz w:val="44"/>
          <w:szCs w:val="44"/>
          <w:lang w:val="en-US" w:eastAsia="zh-CN"/>
        </w:rPr>
      </w:pPr>
    </w:p>
    <w:p>
      <w:pPr>
        <w:pStyle w:val="2"/>
        <w:rPr>
          <w:rFonts w:hint="eastAsia"/>
          <w:lang w:val="en-US" w:eastAsia="zh-CN"/>
        </w:rPr>
      </w:pPr>
    </w:p>
    <w:p>
      <w:pPr>
        <w:pStyle w:val="2"/>
        <w:rPr>
          <w:rFonts w:hint="eastAsia"/>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p>
    <w:p>
      <w:pPr>
        <w:spacing w:line="520" w:lineRule="exact"/>
        <w:jc w:val="center"/>
        <w:rPr>
          <w:rFonts w:hint="eastAsia" w:ascii="方正小标宋简体" w:hAnsi="方正小标宋简体" w:eastAsia="方正小标宋简体" w:cs="方正小标宋简体"/>
          <w:b w:val="0"/>
          <w:bCs/>
          <w:sz w:val="44"/>
          <w:szCs w:val="44"/>
          <w:lang w:val="en-US" w:eastAsia="zh-CN"/>
        </w:rPr>
      </w:pPr>
      <w:r>
        <w:rPr>
          <w:rFonts w:hint="eastAsia" w:ascii="方正小标宋简体" w:hAnsi="方正小标宋简体" w:eastAsia="方正小标宋简体" w:cs="方正小标宋简体"/>
          <w:b w:val="0"/>
          <w:bCs/>
          <w:sz w:val="44"/>
          <w:szCs w:val="44"/>
          <w:lang w:val="en-US" w:eastAsia="zh-CN"/>
        </w:rPr>
        <w:t>目  录</w:t>
      </w:r>
    </w:p>
    <w:p>
      <w:pPr>
        <w:pStyle w:val="7"/>
        <w:numPr>
          <w:ilvl w:val="0"/>
          <w:numId w:val="0"/>
        </w:numPr>
        <w:shd w:val="clear" w:color="auto" w:fill="FFFFFF"/>
        <w:spacing w:before="0" w:beforeAutospacing="0" w:after="0" w:afterAutospacing="0" w:line="240" w:lineRule="auto"/>
        <w:rPr>
          <w:rFonts w:hint="eastAsia" w:ascii="黑体" w:hAnsi="黑体" w:eastAsia="黑体" w:cs="黑体"/>
          <w:color w:val="000000"/>
          <w:position w:val="-2"/>
          <w:sz w:val="32"/>
          <w:szCs w:val="32"/>
        </w:rPr>
      </w:pPr>
    </w:p>
    <w:p>
      <w:pPr>
        <w:pStyle w:val="7"/>
        <w:numPr>
          <w:ilvl w:val="0"/>
          <w:numId w:val="0"/>
        </w:numPr>
        <w:shd w:val="clear" w:color="auto" w:fill="FFFFFF"/>
        <w:spacing w:before="0" w:beforeAutospacing="0" w:after="0" w:afterAutospacing="0" w:line="240" w:lineRule="auto"/>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val="en-US" w:eastAsia="zh-CN"/>
        </w:rPr>
        <w:t>一、</w:t>
      </w:r>
      <w:r>
        <w:rPr>
          <w:rFonts w:hint="eastAsia" w:ascii="黑体" w:hAnsi="黑体" w:eastAsia="黑体" w:cs="黑体"/>
          <w:color w:val="000000"/>
          <w:position w:val="-2"/>
          <w:sz w:val="32"/>
          <w:szCs w:val="32"/>
        </w:rPr>
        <w:t>“十三五”规划执行情况</w:t>
      </w:r>
      <w:r>
        <w:rPr>
          <w:rFonts w:hint="eastAsia" w:ascii="黑体" w:hAnsi="黑体" w:eastAsia="黑体" w:cs="黑体"/>
          <w:color w:val="000000"/>
          <w:position w:val="-2"/>
          <w:sz w:val="32"/>
          <w:szCs w:val="32"/>
          <w:lang w:val="en-US" w:eastAsia="zh-CN"/>
        </w:rPr>
        <w:t xml:space="preserve"> ……………………………… 3</w:t>
      </w:r>
    </w:p>
    <w:p>
      <w:pPr>
        <w:pStyle w:val="7"/>
        <w:numPr>
          <w:ilvl w:val="0"/>
          <w:numId w:val="0"/>
        </w:numPr>
        <w:shd w:val="clear" w:color="auto" w:fill="FFFFFF"/>
        <w:spacing w:before="0" w:beforeAutospacing="0" w:after="0" w:afterAutospacing="0" w:line="240" w:lineRule="auto"/>
        <w:rPr>
          <w:rFonts w:hint="eastAsia"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eastAsia="zh-CN"/>
        </w:rPr>
        <w:t>（</w:t>
      </w:r>
      <w:r>
        <w:rPr>
          <w:rFonts w:hint="eastAsia" w:ascii="黑体" w:hAnsi="黑体" w:eastAsia="黑体" w:cs="黑体"/>
          <w:color w:val="000000"/>
          <w:position w:val="-2"/>
          <w:sz w:val="32"/>
          <w:szCs w:val="32"/>
          <w:lang w:val="en-US" w:eastAsia="zh-CN"/>
        </w:rPr>
        <w:t>一</w:t>
      </w:r>
      <w:r>
        <w:rPr>
          <w:rFonts w:hint="eastAsia" w:ascii="黑体" w:hAnsi="黑体" w:eastAsia="黑体" w:cs="黑体"/>
          <w:color w:val="000000"/>
          <w:position w:val="-2"/>
          <w:sz w:val="32"/>
          <w:szCs w:val="32"/>
          <w:lang w:eastAsia="zh-CN"/>
        </w:rPr>
        <w:t>）</w:t>
      </w:r>
      <w:r>
        <w:rPr>
          <w:rFonts w:hint="eastAsia" w:ascii="黑体" w:hAnsi="黑体" w:eastAsia="黑体" w:cs="黑体"/>
          <w:color w:val="000000"/>
          <w:position w:val="-2"/>
          <w:sz w:val="32"/>
          <w:szCs w:val="32"/>
          <w:lang w:val="en-US" w:eastAsia="zh-CN"/>
        </w:rPr>
        <w:t>经营指标完成情况…………………………………… 3</w:t>
      </w:r>
    </w:p>
    <w:p>
      <w:pPr>
        <w:pStyle w:val="7"/>
        <w:numPr>
          <w:ilvl w:val="0"/>
          <w:numId w:val="0"/>
        </w:numPr>
        <w:shd w:val="clear" w:color="auto" w:fill="FFFFFF"/>
        <w:spacing w:before="0" w:beforeAutospacing="0" w:after="0" w:afterAutospacing="0" w:line="240" w:lineRule="auto"/>
        <w:rPr>
          <w:rFonts w:hint="eastAsia"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val="en-US" w:eastAsia="zh-CN"/>
        </w:rPr>
        <w:t>（二）企业治理建设情况…………………………………… 4（三）造纸主业发展情况…………………………………… 5</w:t>
      </w:r>
    </w:p>
    <w:p>
      <w:pPr>
        <w:pStyle w:val="7"/>
        <w:numPr>
          <w:ilvl w:val="0"/>
          <w:numId w:val="0"/>
        </w:numPr>
        <w:shd w:val="clear" w:color="auto" w:fill="FFFFFF"/>
        <w:spacing w:before="0" w:beforeAutospacing="0" w:after="0" w:afterAutospacing="0" w:line="240" w:lineRule="auto"/>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val="en-US" w:eastAsia="zh-CN"/>
        </w:rPr>
        <w:t>（四）重点项目实施情况…………………………………… 8</w:t>
      </w:r>
    </w:p>
    <w:p>
      <w:pPr>
        <w:pStyle w:val="7"/>
        <w:numPr>
          <w:ilvl w:val="0"/>
          <w:numId w:val="0"/>
        </w:numPr>
        <w:shd w:val="clear" w:color="auto" w:fill="FFFFFF"/>
        <w:spacing w:before="0" w:beforeAutospacing="0" w:after="0" w:afterAutospacing="0" w:line="240" w:lineRule="auto"/>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val="en-US" w:eastAsia="zh-CN"/>
        </w:rPr>
        <w:t>二、“十四五”规划主要内容 ……………………………… 10</w:t>
      </w:r>
      <w:r>
        <w:rPr>
          <w:rFonts w:hint="eastAsia" w:ascii="黑体" w:hAnsi="黑体" w:eastAsia="黑体" w:cs="黑体"/>
          <w:color w:val="000000"/>
          <w:position w:val="-2"/>
          <w:sz w:val="32"/>
          <w:szCs w:val="32"/>
          <w:lang w:eastAsia="zh-CN"/>
        </w:rPr>
        <w:t>（一）企业现状与发展环境</w:t>
      </w:r>
      <w:r>
        <w:rPr>
          <w:rFonts w:hint="eastAsia" w:ascii="黑体" w:hAnsi="黑体" w:eastAsia="黑体" w:cs="黑体"/>
          <w:color w:val="000000"/>
          <w:position w:val="-2"/>
          <w:sz w:val="32"/>
          <w:szCs w:val="32"/>
          <w:lang w:val="en-US" w:eastAsia="zh-CN"/>
        </w:rPr>
        <w:t xml:space="preserve"> ……………………………… 11</w:t>
      </w:r>
    </w:p>
    <w:p>
      <w:pPr>
        <w:pStyle w:val="7"/>
        <w:numPr>
          <w:ilvl w:val="0"/>
          <w:numId w:val="0"/>
        </w:numPr>
        <w:shd w:val="clear" w:color="auto" w:fill="FFFFFF"/>
        <w:spacing w:before="0" w:beforeAutospacing="0" w:after="0" w:afterAutospacing="0" w:line="240" w:lineRule="auto"/>
        <w:ind w:firstLine="640" w:firstLineChars="200"/>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val="en-US" w:eastAsia="zh-CN"/>
        </w:rPr>
        <w:t>1、基本情况  ………………………………………… 11</w:t>
      </w:r>
    </w:p>
    <w:p>
      <w:pPr>
        <w:pStyle w:val="7"/>
        <w:numPr>
          <w:ilvl w:val="0"/>
          <w:numId w:val="0"/>
        </w:numPr>
        <w:shd w:val="clear" w:color="auto" w:fill="FFFFFF"/>
        <w:spacing w:before="0" w:beforeAutospacing="0" w:after="0" w:afterAutospacing="0" w:line="240" w:lineRule="auto"/>
        <w:ind w:firstLine="640" w:firstLineChars="200"/>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val="en-US" w:eastAsia="zh-CN"/>
        </w:rPr>
        <w:t>2、企业发展环境分析………………………………… 16</w:t>
      </w:r>
    </w:p>
    <w:p>
      <w:pPr>
        <w:pStyle w:val="7"/>
        <w:numPr>
          <w:ilvl w:val="0"/>
          <w:numId w:val="0"/>
        </w:numPr>
        <w:shd w:val="clear" w:color="auto" w:fill="FFFFFF"/>
        <w:spacing w:before="0" w:beforeAutospacing="0" w:after="0" w:afterAutospacing="0" w:line="240" w:lineRule="auto"/>
        <w:ind w:firstLine="640" w:firstLineChars="200"/>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val="en-US" w:eastAsia="zh-CN"/>
        </w:rPr>
        <w:t>3、竞争力分析………………………………………… 18</w:t>
      </w:r>
    </w:p>
    <w:p>
      <w:pPr>
        <w:pStyle w:val="7"/>
        <w:numPr>
          <w:ilvl w:val="0"/>
          <w:numId w:val="0"/>
        </w:numPr>
        <w:shd w:val="clear" w:color="auto" w:fill="FFFFFF"/>
        <w:spacing w:before="0" w:beforeAutospacing="0" w:after="0" w:afterAutospacing="0" w:line="240" w:lineRule="auto"/>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eastAsia="zh-CN"/>
        </w:rPr>
        <w:t>（二）发展战略与指导思想</w:t>
      </w:r>
      <w:r>
        <w:rPr>
          <w:rFonts w:hint="eastAsia" w:ascii="黑体" w:hAnsi="黑体" w:eastAsia="黑体" w:cs="黑体"/>
          <w:color w:val="000000"/>
          <w:position w:val="-2"/>
          <w:sz w:val="32"/>
          <w:szCs w:val="32"/>
          <w:lang w:val="en-US" w:eastAsia="zh-CN"/>
        </w:rPr>
        <w:t xml:space="preserve"> ……………………………… 20</w:t>
      </w:r>
    </w:p>
    <w:p>
      <w:pPr>
        <w:pStyle w:val="7"/>
        <w:numPr>
          <w:ilvl w:val="0"/>
          <w:numId w:val="0"/>
        </w:numPr>
        <w:shd w:val="clear" w:color="auto" w:fill="FFFFFF"/>
        <w:spacing w:before="0" w:beforeAutospacing="0" w:after="0" w:afterAutospacing="0" w:line="240" w:lineRule="auto"/>
        <w:ind w:firstLine="640" w:firstLineChars="200"/>
        <w:rPr>
          <w:rFonts w:hint="default" w:ascii="黑体" w:hAnsi="黑体" w:eastAsia="黑体" w:cs="黑体"/>
          <w:color w:val="auto"/>
          <w:position w:val="-2"/>
          <w:sz w:val="32"/>
          <w:szCs w:val="32"/>
          <w:lang w:val="en-US" w:eastAsia="zh-CN"/>
        </w:rPr>
      </w:pPr>
      <w:r>
        <w:rPr>
          <w:rFonts w:hint="eastAsia" w:ascii="黑体" w:hAnsi="黑体" w:eastAsia="黑体" w:cs="黑体"/>
          <w:color w:val="auto"/>
          <w:position w:val="-2"/>
          <w:sz w:val="32"/>
          <w:szCs w:val="32"/>
          <w:lang w:val="en-US" w:eastAsia="zh-CN"/>
        </w:rPr>
        <w:t>1、企业战略定位与战略描述</w:t>
      </w:r>
      <w:r>
        <w:rPr>
          <w:rFonts w:hint="eastAsia" w:ascii="黑体" w:hAnsi="黑体" w:eastAsia="黑体" w:cs="黑体"/>
          <w:color w:val="000000"/>
          <w:position w:val="-2"/>
          <w:sz w:val="32"/>
          <w:szCs w:val="32"/>
          <w:lang w:val="en-US" w:eastAsia="zh-CN"/>
        </w:rPr>
        <w:t>………………………… 20</w:t>
      </w:r>
    </w:p>
    <w:p>
      <w:pPr>
        <w:pStyle w:val="7"/>
        <w:numPr>
          <w:ilvl w:val="0"/>
          <w:numId w:val="0"/>
        </w:numPr>
        <w:shd w:val="clear" w:color="auto" w:fill="FFFFFF"/>
        <w:spacing w:before="0" w:beforeAutospacing="0" w:after="0" w:afterAutospacing="0" w:line="240" w:lineRule="auto"/>
        <w:ind w:firstLine="640" w:firstLineChars="200"/>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val="en-US" w:eastAsia="zh-CN"/>
        </w:rPr>
        <w:t>2、企业发展指导思想………………………………… 22</w:t>
      </w:r>
    </w:p>
    <w:p>
      <w:pPr>
        <w:pStyle w:val="7"/>
        <w:numPr>
          <w:ilvl w:val="0"/>
          <w:numId w:val="0"/>
        </w:numPr>
        <w:shd w:val="clear" w:color="auto" w:fill="FFFFFF"/>
        <w:spacing w:before="0" w:beforeAutospacing="0" w:after="0" w:afterAutospacing="0" w:line="240" w:lineRule="auto"/>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eastAsia="zh-CN"/>
        </w:rPr>
        <w:t>（三）企业发展规划目标</w:t>
      </w:r>
      <w:r>
        <w:rPr>
          <w:rFonts w:hint="eastAsia" w:ascii="黑体" w:hAnsi="黑体" w:eastAsia="黑体" w:cs="黑体"/>
          <w:color w:val="000000"/>
          <w:position w:val="-2"/>
          <w:sz w:val="32"/>
          <w:szCs w:val="32"/>
          <w:lang w:val="en-US" w:eastAsia="zh-CN"/>
        </w:rPr>
        <w:t xml:space="preserve"> ………………………………… 22</w:t>
      </w:r>
    </w:p>
    <w:p>
      <w:pPr>
        <w:pStyle w:val="7"/>
        <w:numPr>
          <w:ilvl w:val="0"/>
          <w:numId w:val="0"/>
        </w:numPr>
        <w:shd w:val="clear" w:color="auto" w:fill="FFFFFF"/>
        <w:spacing w:before="0" w:beforeAutospacing="0" w:after="0" w:afterAutospacing="0" w:line="240" w:lineRule="auto"/>
        <w:ind w:firstLine="640" w:firstLineChars="200"/>
        <w:rPr>
          <w:rFonts w:hint="default" w:ascii="黑体" w:hAnsi="黑体" w:eastAsia="黑体" w:cs="黑体"/>
          <w:color w:val="000000"/>
          <w:position w:val="-2"/>
          <w:sz w:val="32"/>
          <w:szCs w:val="32"/>
          <w:lang w:val="en-US" w:eastAsia="zh-CN"/>
        </w:rPr>
      </w:pPr>
      <w:r>
        <w:rPr>
          <w:rFonts w:hint="eastAsia" w:ascii="黑体" w:hAnsi="黑体" w:eastAsia="黑体" w:cs="黑体"/>
          <w:color w:val="000000"/>
          <w:position w:val="-2"/>
          <w:sz w:val="32"/>
          <w:szCs w:val="32"/>
          <w:lang w:val="en-US" w:eastAsia="zh-CN"/>
        </w:rPr>
        <w:t>1、</w:t>
      </w:r>
      <w:r>
        <w:rPr>
          <w:rFonts w:hint="eastAsia" w:ascii="黑体" w:hAnsi="黑体" w:eastAsia="黑体" w:cs="黑体"/>
          <w:color w:val="000000"/>
          <w:position w:val="-2"/>
          <w:sz w:val="32"/>
          <w:szCs w:val="32"/>
          <w:lang w:eastAsia="zh-CN"/>
        </w:rPr>
        <w:t>远景规划目标</w:t>
      </w:r>
      <w:r>
        <w:rPr>
          <w:rFonts w:hint="eastAsia" w:ascii="黑体" w:hAnsi="黑体" w:eastAsia="黑体" w:cs="黑体"/>
          <w:color w:val="000000"/>
          <w:position w:val="-2"/>
          <w:sz w:val="32"/>
          <w:szCs w:val="32"/>
          <w:lang w:val="en-US" w:eastAsia="zh-CN"/>
        </w:rPr>
        <w:t>……………………………………… 22</w:t>
      </w:r>
    </w:p>
    <w:p>
      <w:pPr>
        <w:pStyle w:val="7"/>
        <w:numPr>
          <w:ilvl w:val="0"/>
          <w:numId w:val="0"/>
        </w:numPr>
        <w:shd w:val="clear" w:color="auto" w:fill="FFFFFF"/>
        <w:spacing w:before="0" w:beforeAutospacing="0" w:after="0" w:afterAutospacing="0" w:line="240" w:lineRule="auto"/>
        <w:ind w:firstLine="640" w:firstLineChars="200"/>
        <w:rPr>
          <w:rFonts w:hint="eastAsia" w:ascii="黑体" w:hAnsi="黑体" w:eastAsia="黑体" w:cs="黑体"/>
          <w:color w:val="000000"/>
          <w:kern w:val="0"/>
          <w:position w:val="-2"/>
          <w:sz w:val="32"/>
          <w:szCs w:val="32"/>
          <w:lang w:val="en-US" w:eastAsia="zh-CN" w:bidi="ar-SA"/>
        </w:rPr>
      </w:pPr>
      <w:r>
        <w:rPr>
          <w:rFonts w:hint="eastAsia" w:ascii="黑体" w:hAnsi="黑体" w:eastAsia="黑体" w:cs="黑体"/>
          <w:color w:val="000000"/>
          <w:kern w:val="0"/>
          <w:position w:val="-2"/>
          <w:sz w:val="32"/>
          <w:szCs w:val="32"/>
          <w:lang w:val="en-US" w:eastAsia="zh-CN" w:bidi="ar-SA"/>
        </w:rPr>
        <w:t>2、五年发展目标</w:t>
      </w:r>
      <w:r>
        <w:rPr>
          <w:rFonts w:hint="eastAsia" w:ascii="黑体" w:hAnsi="黑体" w:eastAsia="黑体" w:cs="黑体"/>
          <w:color w:val="000000"/>
          <w:position w:val="-2"/>
          <w:sz w:val="32"/>
          <w:szCs w:val="32"/>
          <w:lang w:val="en-US" w:eastAsia="zh-CN"/>
        </w:rPr>
        <w:t>……………………………………… 23</w:t>
      </w:r>
    </w:p>
    <w:p>
      <w:pPr>
        <w:pStyle w:val="7"/>
        <w:numPr>
          <w:ilvl w:val="0"/>
          <w:numId w:val="0"/>
        </w:numPr>
        <w:shd w:val="clear" w:color="auto" w:fill="FFFFFF"/>
        <w:spacing w:before="0" w:beforeAutospacing="0" w:after="0" w:afterAutospacing="0" w:line="240" w:lineRule="auto"/>
        <w:ind w:firstLine="640" w:firstLineChars="200"/>
        <w:rPr>
          <w:rFonts w:hint="eastAsia" w:ascii="黑体" w:hAnsi="黑体" w:eastAsia="黑体" w:cs="黑体"/>
          <w:color w:val="000000"/>
          <w:kern w:val="0"/>
          <w:position w:val="-2"/>
          <w:sz w:val="32"/>
          <w:szCs w:val="32"/>
          <w:lang w:val="en-US" w:eastAsia="zh-CN" w:bidi="ar-SA"/>
        </w:rPr>
      </w:pPr>
      <w:r>
        <w:rPr>
          <w:rFonts w:hint="eastAsia" w:ascii="黑体" w:hAnsi="黑体" w:eastAsia="黑体" w:cs="黑体"/>
          <w:color w:val="000000"/>
          <w:kern w:val="0"/>
          <w:position w:val="-2"/>
          <w:sz w:val="32"/>
          <w:szCs w:val="32"/>
          <w:lang w:val="en-US" w:eastAsia="zh-CN" w:bidi="ar-SA"/>
        </w:rPr>
        <w:t>3、发展规划目标</w:t>
      </w:r>
      <w:r>
        <w:rPr>
          <w:rFonts w:hint="eastAsia" w:ascii="黑体" w:hAnsi="黑体" w:eastAsia="黑体" w:cs="黑体"/>
          <w:color w:val="000000"/>
          <w:position w:val="-2"/>
          <w:sz w:val="32"/>
          <w:szCs w:val="32"/>
          <w:lang w:val="en-US" w:eastAsia="zh-CN"/>
        </w:rPr>
        <w:t>……………………………………… 24</w:t>
      </w:r>
    </w:p>
    <w:p>
      <w:pPr>
        <w:pStyle w:val="7"/>
        <w:numPr>
          <w:ilvl w:val="0"/>
          <w:numId w:val="0"/>
        </w:numPr>
        <w:shd w:val="clear" w:color="auto" w:fill="FFFFFF"/>
        <w:spacing w:before="0" w:beforeAutospacing="0" w:after="0" w:afterAutospacing="0" w:line="240" w:lineRule="auto"/>
        <w:rPr>
          <w:rFonts w:hint="eastAsia" w:ascii="黑体" w:hAnsi="黑体" w:eastAsia="黑体" w:cs="黑体"/>
          <w:color w:val="000000"/>
          <w:position w:val="-2"/>
          <w:sz w:val="32"/>
          <w:szCs w:val="32"/>
          <w:lang w:eastAsia="zh-CN"/>
        </w:rPr>
      </w:pPr>
      <w:r>
        <w:rPr>
          <w:rFonts w:hint="eastAsia" w:ascii="黑体" w:hAnsi="黑体" w:eastAsia="黑体" w:cs="黑体"/>
          <w:color w:val="000000"/>
          <w:position w:val="-2"/>
          <w:sz w:val="32"/>
          <w:szCs w:val="32"/>
          <w:lang w:eastAsia="zh-CN"/>
        </w:rPr>
        <w:t>（四）规划期内</w:t>
      </w:r>
      <w:r>
        <w:rPr>
          <w:rFonts w:hint="eastAsia" w:ascii="黑体" w:hAnsi="黑体" w:eastAsia="黑体" w:cs="黑体"/>
          <w:color w:val="000000"/>
          <w:position w:val="-2"/>
          <w:sz w:val="32"/>
          <w:szCs w:val="32"/>
          <w:lang w:val="en-US" w:eastAsia="zh-CN"/>
        </w:rPr>
        <w:t>重点发展任务 …………………………… 25</w:t>
      </w:r>
    </w:p>
    <w:p>
      <w:pPr>
        <w:pStyle w:val="7"/>
        <w:numPr>
          <w:ilvl w:val="0"/>
          <w:numId w:val="0"/>
        </w:numPr>
        <w:shd w:val="clear" w:color="auto" w:fill="FFFFFF"/>
        <w:spacing w:before="0" w:beforeAutospacing="0" w:after="0" w:afterAutospacing="0" w:line="240" w:lineRule="auto"/>
        <w:rPr>
          <w:rFonts w:hint="eastAsia" w:ascii="黑体" w:hAnsi="黑体" w:eastAsia="黑体" w:cs="黑体"/>
          <w:color w:val="000000"/>
          <w:position w:val="-2"/>
          <w:sz w:val="32"/>
          <w:szCs w:val="32"/>
          <w:lang w:eastAsia="zh-CN"/>
        </w:rPr>
      </w:pPr>
      <w:r>
        <w:rPr>
          <w:rFonts w:hint="eastAsia" w:ascii="黑体" w:hAnsi="黑体" w:eastAsia="黑体" w:cs="黑体"/>
          <w:color w:val="000000"/>
          <w:position w:val="-2"/>
          <w:sz w:val="32"/>
          <w:szCs w:val="32"/>
          <w:lang w:eastAsia="zh-CN"/>
        </w:rPr>
        <w:t>（</w:t>
      </w:r>
      <w:r>
        <w:rPr>
          <w:rFonts w:hint="eastAsia" w:ascii="黑体" w:hAnsi="黑体" w:eastAsia="黑体" w:cs="黑体"/>
          <w:color w:val="000000"/>
          <w:position w:val="-2"/>
          <w:sz w:val="32"/>
          <w:szCs w:val="32"/>
          <w:lang w:val="en-US" w:eastAsia="zh-CN"/>
        </w:rPr>
        <w:t>五</w:t>
      </w:r>
      <w:r>
        <w:rPr>
          <w:rFonts w:hint="eastAsia" w:ascii="黑体" w:hAnsi="黑体" w:eastAsia="黑体" w:cs="黑体"/>
          <w:color w:val="000000"/>
          <w:position w:val="-2"/>
          <w:sz w:val="32"/>
          <w:szCs w:val="32"/>
          <w:lang w:eastAsia="zh-CN"/>
        </w:rPr>
        <w:t>）规划期内实施计划与</w:t>
      </w:r>
      <w:r>
        <w:rPr>
          <w:rFonts w:hint="eastAsia" w:ascii="黑体" w:hAnsi="黑体" w:eastAsia="黑体" w:cs="黑体"/>
          <w:color w:val="000000"/>
          <w:position w:val="-2"/>
          <w:sz w:val="32"/>
          <w:szCs w:val="32"/>
          <w:lang w:val="en-US" w:eastAsia="zh-CN"/>
        </w:rPr>
        <w:t>保障</w:t>
      </w:r>
      <w:r>
        <w:rPr>
          <w:rFonts w:hint="eastAsia" w:ascii="黑体" w:hAnsi="黑体" w:eastAsia="黑体" w:cs="黑体"/>
          <w:color w:val="000000"/>
          <w:position w:val="-2"/>
          <w:sz w:val="32"/>
          <w:szCs w:val="32"/>
          <w:lang w:eastAsia="zh-CN"/>
        </w:rPr>
        <w:t>措施</w:t>
      </w:r>
      <w:r>
        <w:rPr>
          <w:rFonts w:hint="eastAsia" w:ascii="黑体" w:hAnsi="黑体" w:eastAsia="黑体" w:cs="黑体"/>
          <w:color w:val="000000"/>
          <w:position w:val="-2"/>
          <w:sz w:val="32"/>
          <w:szCs w:val="32"/>
          <w:lang w:val="en-US" w:eastAsia="zh-CN"/>
        </w:rPr>
        <w:t xml:space="preserve"> …………………… 28</w:t>
      </w:r>
    </w:p>
    <w:p>
      <w:pPr>
        <w:spacing w:line="520" w:lineRule="exact"/>
        <w:jc w:val="both"/>
        <w:rPr>
          <w:rFonts w:hint="eastAsia" w:ascii="方正小标宋简体" w:hAnsi="方正小标宋简体" w:eastAsia="方正小标宋简体" w:cs="方正小标宋简体"/>
          <w:b w:val="0"/>
          <w:bCs/>
          <w:sz w:val="44"/>
          <w:szCs w:val="44"/>
        </w:rPr>
      </w:pPr>
    </w:p>
    <w:p>
      <w:pPr>
        <w:spacing w:line="520" w:lineRule="exact"/>
        <w:jc w:val="center"/>
        <w:rPr>
          <w:rFonts w:hint="eastAsia" w:ascii="方正小标宋简体" w:hAnsi="方正小标宋简体" w:eastAsia="方正小标宋简体" w:cs="方正小标宋简体"/>
          <w:b w:val="0"/>
          <w:bCs/>
          <w:sz w:val="44"/>
          <w:szCs w:val="44"/>
        </w:rPr>
      </w:pPr>
    </w:p>
    <w:p>
      <w:pPr>
        <w:spacing w:line="520" w:lineRule="exact"/>
        <w:jc w:val="center"/>
        <w:rPr>
          <w:rFonts w:cs="方正小标宋简体" w:asciiTheme="majorEastAsia" w:hAnsiTheme="majorEastAsia" w:eastAsiaTheme="majorEastAsia"/>
          <w:b/>
          <w:sz w:val="44"/>
          <w:szCs w:val="44"/>
        </w:rPr>
      </w:pPr>
      <w:r>
        <w:rPr>
          <w:rFonts w:hint="eastAsia" w:ascii="方正小标宋简体" w:hAnsi="方正小标宋简体" w:eastAsia="方正小标宋简体" w:cs="方正小标宋简体"/>
          <w:b w:val="0"/>
          <w:bCs/>
          <w:sz w:val="44"/>
          <w:szCs w:val="44"/>
        </w:rPr>
        <w:t>济南润易集团“十四五”发展战略和规划</w:t>
      </w:r>
    </w:p>
    <w:p>
      <w:pPr>
        <w:spacing w:line="520" w:lineRule="exact"/>
        <w:ind w:firstLine="672" w:firstLineChars="200"/>
        <w:rPr>
          <w:rFonts w:ascii="仿宋" w:hAnsi="仿宋" w:eastAsia="仿宋" w:cs="仿宋"/>
          <w:color w:val="333333"/>
          <w:spacing w:val="8"/>
          <w:sz w:val="32"/>
          <w:szCs w:val="32"/>
          <w:shd w:val="clear" w:color="auto" w:fill="FFFFFF"/>
        </w:rPr>
      </w:pPr>
    </w:p>
    <w:p>
      <w:pPr>
        <w:pStyle w:val="3"/>
        <w:keepNext w:val="0"/>
        <w:keepLines w:val="0"/>
        <w:pageBreakBefore w:val="0"/>
        <w:widowControl w:val="0"/>
        <w:kinsoku/>
        <w:wordWrap/>
        <w:overflowPunct/>
        <w:topLinePunct w:val="0"/>
        <w:autoSpaceDE/>
        <w:autoSpaceDN/>
        <w:bidi w:val="0"/>
        <w:adjustRightInd w:val="0"/>
        <w:snapToGrid/>
        <w:spacing w:line="600" w:lineRule="exact"/>
        <w:ind w:firstLine="640" w:firstLineChars="200"/>
        <w:textAlignment w:val="baseline"/>
        <w:rPr>
          <w:rFonts w:hint="eastAsia" w:ascii="仿宋_GB2312" w:hAnsi="仿宋" w:eastAsia="仿宋_GB2312" w:cs="仿宋"/>
          <w:color w:val="000000"/>
          <w:position w:val="-2"/>
          <w:sz w:val="32"/>
          <w:szCs w:val="32"/>
        </w:rPr>
      </w:pPr>
      <w:r>
        <w:rPr>
          <w:rFonts w:hint="eastAsia" w:ascii="仿宋_GB2312" w:hAnsi="Arial" w:eastAsia="仿宋_GB2312"/>
          <w:sz w:val="32"/>
          <w:szCs w:val="32"/>
        </w:rPr>
        <w:t>根据济南市国资委对“十四五”规划编制工作的要求，济南润易集团党委高度重视，为确保高质量地完成公司“十</w:t>
      </w:r>
      <w:r>
        <w:rPr>
          <w:rFonts w:hint="eastAsia" w:ascii="仿宋_GB2312" w:hAnsi="Arial" w:eastAsia="仿宋_GB2312"/>
          <w:sz w:val="32"/>
          <w:szCs w:val="32"/>
          <w:lang w:val="en-US" w:eastAsia="zh-CN"/>
        </w:rPr>
        <w:t>四</w:t>
      </w:r>
      <w:r>
        <w:rPr>
          <w:rFonts w:hint="eastAsia" w:ascii="仿宋_GB2312" w:hAnsi="Arial" w:eastAsia="仿宋_GB2312"/>
          <w:sz w:val="32"/>
          <w:szCs w:val="32"/>
        </w:rPr>
        <w:t>五”规划的编制任务，成立了规划编制小组，并迅速开展工作。</w:t>
      </w:r>
      <w:r>
        <w:rPr>
          <w:rFonts w:hint="eastAsia" w:ascii="仿宋_GB2312" w:hAnsi="仿宋" w:eastAsia="仿宋_GB2312" w:cs="仿宋"/>
          <w:sz w:val="32"/>
          <w:szCs w:val="32"/>
          <w:shd w:val="clear" w:color="auto" w:fill="FFFFFF"/>
        </w:rPr>
        <w:t>通过扎实开展调查研究，客观分析现状，找准突出问题，准确把握大势，科学谋划目标，勇于开拓创新，找准战略支点，重点考虑发展需求与规划互补的关系，有条不紊的按照既定节奏推进规划内容，</w:t>
      </w:r>
      <w:r>
        <w:rPr>
          <w:rFonts w:hint="eastAsia" w:ascii="仿宋_GB2312" w:hAnsi="Arial" w:eastAsia="仿宋_GB2312"/>
          <w:sz w:val="32"/>
          <w:szCs w:val="32"/>
        </w:rPr>
        <w:t>形成了一个完整的济南润易集团后五年的工作方案，</w:t>
      </w:r>
      <w:r>
        <w:rPr>
          <w:rFonts w:hint="eastAsia" w:ascii="仿宋_GB2312" w:hAnsi="仿宋" w:eastAsia="仿宋_GB2312" w:cs="仿宋"/>
          <w:sz w:val="32"/>
          <w:szCs w:val="32"/>
          <w:shd w:val="clear" w:color="auto" w:fill="FFFFFF"/>
        </w:rPr>
        <w:t>为“十四</w:t>
      </w:r>
      <w:r>
        <w:rPr>
          <w:rFonts w:hint="eastAsia" w:ascii="仿宋_GB2312" w:hAnsi="仿宋" w:eastAsia="仿宋_GB2312" w:cs="仿宋"/>
          <w:color w:val="000000"/>
          <w:position w:val="-2"/>
          <w:sz w:val="32"/>
          <w:szCs w:val="32"/>
        </w:rPr>
        <w:t>五”工作谋好篇、开好头打下坚实的基础。</w:t>
      </w:r>
    </w:p>
    <w:p>
      <w:pPr>
        <w:pStyle w:val="3"/>
        <w:keepNext w:val="0"/>
        <w:keepLines w:val="0"/>
        <w:pageBreakBefore w:val="0"/>
        <w:widowControl w:val="0"/>
        <w:kinsoku/>
        <w:wordWrap/>
        <w:overflowPunct/>
        <w:topLinePunct w:val="0"/>
        <w:autoSpaceDE/>
        <w:autoSpaceDN/>
        <w:bidi w:val="0"/>
        <w:adjustRightInd w:val="0"/>
        <w:snapToGrid/>
        <w:spacing w:line="600" w:lineRule="exact"/>
        <w:ind w:firstLine="640" w:firstLineChars="200"/>
        <w:textAlignment w:val="baseline"/>
        <w:rPr>
          <w:rFonts w:hint="eastAsia" w:ascii="仿宋_GB2312" w:hAnsi="仿宋" w:eastAsia="仿宋_GB2312" w:cs="仿宋"/>
          <w:color w:val="000000"/>
          <w:position w:val="-2"/>
          <w:sz w:val="32"/>
          <w:szCs w:val="32"/>
        </w:rPr>
      </w:pPr>
    </w:p>
    <w:p>
      <w:pPr>
        <w:pStyle w:val="7"/>
        <w:shd w:val="clear" w:color="auto" w:fill="FFFFFF"/>
        <w:spacing w:before="0" w:beforeAutospacing="0" w:after="0" w:afterAutospacing="0" w:line="240" w:lineRule="auto"/>
        <w:ind w:firstLine="640" w:firstLineChars="200"/>
        <w:rPr>
          <w:rFonts w:ascii="黑体" w:hAnsi="黑体" w:eastAsia="黑体" w:cs="黑体"/>
          <w:color w:val="000000"/>
          <w:position w:val="-2"/>
          <w:sz w:val="32"/>
          <w:szCs w:val="32"/>
        </w:rPr>
      </w:pPr>
      <w:r>
        <w:rPr>
          <w:rFonts w:hint="eastAsia" w:ascii="黑体" w:hAnsi="黑体" w:eastAsia="黑体" w:cs="黑体"/>
          <w:color w:val="000000"/>
          <w:position w:val="-2"/>
          <w:sz w:val="32"/>
          <w:szCs w:val="32"/>
        </w:rPr>
        <w:t>一、“十三五”规划执行情况</w:t>
      </w:r>
    </w:p>
    <w:p>
      <w:pPr>
        <w:keepNext w:val="0"/>
        <w:keepLines w:val="0"/>
        <w:pageBreakBefore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 w:eastAsia="仿宋_GB2312" w:cs="仿宋"/>
          <w:sz w:val="32"/>
          <w:szCs w:val="32"/>
        </w:rPr>
      </w:pPr>
      <w:r>
        <w:rPr>
          <w:rFonts w:hint="eastAsia" w:ascii="仿宋_GB2312" w:hAnsi="仿宋" w:eastAsia="仿宋_GB2312" w:cs="仿宋"/>
          <w:sz w:val="32"/>
          <w:szCs w:val="32"/>
        </w:rPr>
        <w:t>2020年是“十三五”规划的收官之年。回顾“十三五”期间的工作，润易集团结合自身实际</w:t>
      </w:r>
      <w:r>
        <w:rPr>
          <w:rFonts w:hint="eastAsia" w:ascii="仿宋_GB2312" w:hAnsi="仿宋" w:eastAsia="仿宋_GB2312" w:cs="仿宋"/>
          <w:sz w:val="32"/>
          <w:szCs w:val="32"/>
          <w:lang w:eastAsia="zh-CN"/>
        </w:rPr>
        <w:t>，</w:t>
      </w:r>
      <w:r>
        <w:rPr>
          <w:rFonts w:hint="eastAsia" w:ascii="仿宋_GB2312" w:hAnsi="仿宋" w:eastAsia="仿宋_GB2312" w:cs="仿宋"/>
          <w:sz w:val="32"/>
          <w:szCs w:val="32"/>
        </w:rPr>
        <w:t>坚持以思想观念变革为先导，</w:t>
      </w:r>
      <w:r>
        <w:rPr>
          <w:rFonts w:hint="eastAsia" w:ascii="仿宋_GB2312" w:hAnsi="仿宋" w:eastAsia="仿宋_GB2312" w:cs="仿宋"/>
          <w:sz w:val="32"/>
          <w:szCs w:val="32"/>
          <w:lang w:val="en-US" w:eastAsia="zh-CN"/>
        </w:rPr>
        <w:t>确定</w:t>
      </w:r>
      <w:r>
        <w:rPr>
          <w:rFonts w:hint="eastAsia" w:ascii="仿宋_GB2312" w:hAnsi="仿宋" w:eastAsia="仿宋_GB2312" w:cs="仿宋"/>
          <w:sz w:val="32"/>
          <w:szCs w:val="32"/>
        </w:rPr>
        <w:t>“搭建平台、整合资源、统筹规划、创新发展”的工作思路，通过思想创新和实践应用，跳出现有局限，优化资源配置，主动把谋改革求发展与推进新旧动能转换有机融合起来，扎实做好“十三五”规划后续实施工作，为“十四五”发展打下更好基础。</w:t>
      </w:r>
    </w:p>
    <w:p>
      <w:pPr>
        <w:pStyle w:val="12"/>
        <w:keepNext w:val="0"/>
        <w:keepLines w:val="0"/>
        <w:pageBreakBefore w:val="0"/>
        <w:numPr>
          <w:ilvl w:val="0"/>
          <w:numId w:val="1"/>
        </w:numPr>
        <w:kinsoku/>
        <w:wordWrap/>
        <w:overflowPunct/>
        <w:topLinePunct w:val="0"/>
        <w:autoSpaceDE/>
        <w:autoSpaceDN/>
        <w:bidi w:val="0"/>
        <w:spacing w:line="600" w:lineRule="exact"/>
        <w:ind w:firstLine="635" w:firstLineChars="200"/>
        <w:textAlignment w:val="auto"/>
        <w:rPr>
          <w:rFonts w:hint="eastAsia" w:ascii="楷体_GB2312" w:hAnsi="华文仿宋" w:eastAsia="楷体_GB2312"/>
          <w:b/>
          <w:bCs/>
          <w:spacing w:val="-2"/>
          <w:position w:val="-2"/>
          <w:sz w:val="32"/>
          <w:szCs w:val="32"/>
          <w:lang w:val="en-US" w:eastAsia="zh-CN"/>
        </w:rPr>
      </w:pPr>
      <w:r>
        <w:rPr>
          <w:rFonts w:hint="eastAsia" w:ascii="楷体_GB2312" w:hAnsi="华文仿宋" w:eastAsia="楷体_GB2312"/>
          <w:b/>
          <w:bCs/>
          <w:spacing w:val="-2"/>
          <w:position w:val="-2"/>
          <w:sz w:val="32"/>
          <w:szCs w:val="32"/>
          <w:lang w:val="en-US" w:eastAsia="zh-CN"/>
        </w:rPr>
        <w:t>经营指标完成情况</w:t>
      </w:r>
    </w:p>
    <w:p>
      <w:pPr>
        <w:keepNext w:val="0"/>
        <w:keepLines w:val="0"/>
        <w:pageBreakBefore w:val="0"/>
        <w:widowControl w:val="0"/>
        <w:kinsoku/>
        <w:wordWrap/>
        <w:overflowPunct/>
        <w:topLinePunct w:val="0"/>
        <w:autoSpaceDE/>
        <w:autoSpaceDN/>
        <w:bidi w:val="0"/>
        <w:spacing w:line="600" w:lineRule="exact"/>
        <w:ind w:firstLine="635" w:firstLineChars="200"/>
        <w:textAlignment w:val="auto"/>
        <w:rPr>
          <w:rFonts w:hint="eastAsia" w:ascii="仿宋_GB2312" w:eastAsia="仿宋_GB2312"/>
          <w:spacing w:val="-2"/>
          <w:position w:val="-2"/>
          <w:sz w:val="32"/>
          <w:szCs w:val="32"/>
        </w:rPr>
      </w:pPr>
      <w:r>
        <w:rPr>
          <w:rFonts w:hint="eastAsia" w:ascii="仿宋_GB2312" w:hAnsi="宋体" w:eastAsia="仿宋_GB2312"/>
          <w:b/>
          <w:spacing w:val="-2"/>
          <w:position w:val="-2"/>
          <w:sz w:val="32"/>
          <w:szCs w:val="32"/>
        </w:rPr>
        <w:t>1、2016年经营指标完成情况：</w:t>
      </w:r>
      <w:r>
        <w:rPr>
          <w:rFonts w:hint="eastAsia" w:ascii="仿宋_GB2312" w:hAnsi="宋体" w:eastAsia="仿宋_GB2312"/>
          <w:spacing w:val="-2"/>
          <w:position w:val="-2"/>
          <w:sz w:val="32"/>
          <w:szCs w:val="32"/>
        </w:rPr>
        <w:t>实现营业收入1.70亿元；实现利润271万元；</w:t>
      </w:r>
      <w:r>
        <w:rPr>
          <w:rFonts w:hint="eastAsia" w:ascii="仿宋_GB2312" w:hAnsi="仿宋" w:eastAsia="仿宋_GB2312"/>
          <w:spacing w:val="-2"/>
          <w:position w:val="-2"/>
          <w:sz w:val="32"/>
          <w:szCs w:val="32"/>
        </w:rPr>
        <w:t>实现利税总额1436万元。</w:t>
      </w:r>
    </w:p>
    <w:p>
      <w:pPr>
        <w:keepNext w:val="0"/>
        <w:keepLines w:val="0"/>
        <w:pageBreakBefore w:val="0"/>
        <w:widowControl w:val="0"/>
        <w:kinsoku/>
        <w:wordWrap/>
        <w:overflowPunct/>
        <w:topLinePunct w:val="0"/>
        <w:autoSpaceDE/>
        <w:autoSpaceDN/>
        <w:bidi w:val="0"/>
        <w:spacing w:line="600" w:lineRule="exact"/>
        <w:ind w:firstLine="622" w:firstLineChars="196"/>
        <w:textAlignment w:val="auto"/>
        <w:rPr>
          <w:rFonts w:hint="eastAsia" w:ascii="仿宋_GB2312" w:hAnsi="仿宋" w:eastAsia="仿宋_GB2312"/>
          <w:spacing w:val="-2"/>
          <w:position w:val="-2"/>
          <w:sz w:val="32"/>
          <w:szCs w:val="32"/>
        </w:rPr>
      </w:pPr>
      <w:r>
        <w:rPr>
          <w:rFonts w:hint="eastAsia" w:ascii="仿宋_GB2312" w:hAnsi="华文仿宋" w:eastAsia="仿宋_GB2312"/>
          <w:b/>
          <w:bCs/>
          <w:spacing w:val="-2"/>
          <w:position w:val="-2"/>
          <w:sz w:val="32"/>
          <w:szCs w:val="32"/>
        </w:rPr>
        <w:t>2、</w:t>
      </w:r>
      <w:r>
        <w:rPr>
          <w:rFonts w:hint="eastAsia" w:ascii="仿宋_GB2312" w:hAnsi="宋体" w:eastAsia="仿宋_GB2312"/>
          <w:b/>
          <w:spacing w:val="-2"/>
          <w:position w:val="-2"/>
          <w:sz w:val="32"/>
          <w:szCs w:val="32"/>
        </w:rPr>
        <w:t>2017年经营指标完成情况：</w:t>
      </w:r>
      <w:r>
        <w:rPr>
          <w:rFonts w:hint="eastAsia" w:ascii="仿宋_GB2312" w:hAnsi="宋体" w:eastAsia="仿宋_GB2312"/>
          <w:spacing w:val="-2"/>
          <w:position w:val="-2"/>
          <w:sz w:val="32"/>
          <w:szCs w:val="32"/>
        </w:rPr>
        <w:t>实现营业收入</w:t>
      </w:r>
      <w:r>
        <w:rPr>
          <w:rFonts w:hint="eastAsia" w:ascii="仿宋_GB2312" w:hAnsi="仿宋" w:eastAsia="仿宋_GB2312"/>
          <w:spacing w:val="-2"/>
          <w:position w:val="-2"/>
          <w:sz w:val="32"/>
          <w:szCs w:val="32"/>
        </w:rPr>
        <w:t>2.51</w:t>
      </w:r>
      <w:r>
        <w:rPr>
          <w:rFonts w:hint="eastAsia" w:ascii="仿宋_GB2312" w:hAnsi="宋体" w:eastAsia="仿宋_GB2312"/>
          <w:spacing w:val="-2"/>
          <w:position w:val="-2"/>
          <w:sz w:val="32"/>
          <w:szCs w:val="32"/>
        </w:rPr>
        <w:t>亿元，</w:t>
      </w:r>
      <w:r>
        <w:rPr>
          <w:rFonts w:hint="eastAsia" w:ascii="仿宋_GB2312" w:hAnsi="仿宋" w:eastAsia="仿宋_GB2312"/>
          <w:spacing w:val="-2"/>
          <w:position w:val="-2"/>
          <w:sz w:val="32"/>
          <w:szCs w:val="32"/>
        </w:rPr>
        <w:t>与2016年相比增加收入8100万元，增幅48%；</w:t>
      </w:r>
      <w:r>
        <w:rPr>
          <w:rFonts w:hint="eastAsia" w:ascii="仿宋_GB2312" w:hAnsi="宋体" w:eastAsia="仿宋_GB2312"/>
          <w:spacing w:val="-2"/>
          <w:position w:val="-2"/>
          <w:sz w:val="32"/>
          <w:szCs w:val="32"/>
        </w:rPr>
        <w:t>实现利润</w:t>
      </w:r>
      <w:r>
        <w:rPr>
          <w:rFonts w:hint="eastAsia" w:ascii="仿宋_GB2312" w:hAnsi="仿宋" w:eastAsia="仿宋_GB2312"/>
          <w:spacing w:val="-2"/>
          <w:position w:val="-2"/>
          <w:sz w:val="32"/>
          <w:szCs w:val="32"/>
        </w:rPr>
        <w:t>459</w:t>
      </w:r>
      <w:r>
        <w:rPr>
          <w:rFonts w:hint="eastAsia" w:ascii="仿宋_GB2312" w:hAnsi="宋体" w:eastAsia="仿宋_GB2312"/>
          <w:spacing w:val="-2"/>
          <w:position w:val="-2"/>
          <w:sz w:val="32"/>
          <w:szCs w:val="32"/>
        </w:rPr>
        <w:t>万元，</w:t>
      </w:r>
      <w:r>
        <w:rPr>
          <w:rFonts w:hint="eastAsia" w:ascii="仿宋_GB2312" w:hAnsi="仿宋" w:eastAsia="仿宋_GB2312"/>
          <w:spacing w:val="-2"/>
          <w:position w:val="-2"/>
          <w:sz w:val="32"/>
          <w:szCs w:val="32"/>
        </w:rPr>
        <w:t>比2016年同期增利188万元，提高69.4%；实现利税总额1741万元，比2016年提高21.2%。</w:t>
      </w:r>
    </w:p>
    <w:p>
      <w:pPr>
        <w:keepNext w:val="0"/>
        <w:keepLines w:val="0"/>
        <w:pageBreakBefore w:val="0"/>
        <w:widowControl w:val="0"/>
        <w:kinsoku/>
        <w:wordWrap/>
        <w:overflowPunct/>
        <w:topLinePunct w:val="0"/>
        <w:autoSpaceDE/>
        <w:autoSpaceDN/>
        <w:bidi w:val="0"/>
        <w:adjustRightInd w:val="0"/>
        <w:snapToGrid w:val="0"/>
        <w:spacing w:line="600" w:lineRule="exact"/>
        <w:ind w:firstLine="635" w:firstLineChars="200"/>
        <w:textAlignment w:val="auto"/>
        <w:rPr>
          <w:rFonts w:hint="eastAsia" w:ascii="仿宋_GB2312" w:hAnsi="仿宋" w:eastAsia="仿宋_GB2312"/>
          <w:spacing w:val="-2"/>
          <w:position w:val="-2"/>
          <w:sz w:val="32"/>
          <w:szCs w:val="32"/>
        </w:rPr>
      </w:pPr>
      <w:r>
        <w:rPr>
          <w:rFonts w:hint="eastAsia" w:ascii="仿宋_GB2312" w:hAnsi="仿宋" w:eastAsia="仿宋_GB2312"/>
          <w:b/>
          <w:spacing w:val="-2"/>
          <w:position w:val="-2"/>
          <w:sz w:val="32"/>
          <w:szCs w:val="32"/>
        </w:rPr>
        <w:t>3、2018年</w:t>
      </w:r>
      <w:r>
        <w:rPr>
          <w:rFonts w:hint="eastAsia" w:ascii="仿宋_GB2312" w:hAnsi="宋体" w:eastAsia="仿宋_GB2312"/>
          <w:b/>
          <w:spacing w:val="-2"/>
          <w:position w:val="-2"/>
          <w:sz w:val="32"/>
          <w:szCs w:val="32"/>
        </w:rPr>
        <w:t>经营指标完成情况：</w:t>
      </w:r>
      <w:r>
        <w:rPr>
          <w:rFonts w:hint="eastAsia" w:ascii="仿宋_GB2312" w:hAnsi="仿宋" w:eastAsia="仿宋_GB2312"/>
          <w:spacing w:val="-2"/>
          <w:position w:val="-2"/>
          <w:sz w:val="32"/>
          <w:szCs w:val="32"/>
        </w:rPr>
        <w:t>实现营业收入2.73亿元，与2017年相比增加收入2115万元，增幅8.4%；实现利润总额667万元，与2017年同期相比增利208万元，提高45.3%；实现利税总额1984万元，比2017年提高13.95%。</w:t>
      </w:r>
    </w:p>
    <w:p>
      <w:pPr>
        <w:keepNext w:val="0"/>
        <w:keepLines w:val="0"/>
        <w:pageBreakBefore w:val="0"/>
        <w:widowControl w:val="0"/>
        <w:kinsoku/>
        <w:wordWrap/>
        <w:overflowPunct/>
        <w:topLinePunct w:val="0"/>
        <w:autoSpaceDE/>
        <w:autoSpaceDN/>
        <w:bidi w:val="0"/>
        <w:adjustRightInd w:val="0"/>
        <w:snapToGrid w:val="0"/>
        <w:spacing w:line="600" w:lineRule="exact"/>
        <w:ind w:firstLine="635" w:firstLineChars="200"/>
        <w:textAlignment w:val="auto"/>
        <w:rPr>
          <w:rFonts w:hint="eastAsia" w:ascii="仿宋_GB2312" w:hAnsi="仿宋" w:eastAsia="仿宋_GB2312" w:cs="仿宋"/>
          <w:color w:val="000000"/>
          <w:spacing w:val="-2"/>
          <w:kern w:val="0"/>
          <w:position w:val="-2"/>
          <w:sz w:val="32"/>
          <w:szCs w:val="32"/>
          <w:lang w:val="en-US" w:eastAsia="zh-CN" w:bidi="ar-SA"/>
        </w:rPr>
      </w:pPr>
      <w:r>
        <w:rPr>
          <w:rFonts w:hint="eastAsia" w:ascii="仿宋_GB2312" w:hAnsi="仿宋" w:eastAsia="仿宋_GB2312"/>
          <w:b/>
          <w:spacing w:val="-2"/>
          <w:position w:val="-2"/>
          <w:sz w:val="32"/>
          <w:szCs w:val="32"/>
        </w:rPr>
        <w:t>4、2019年</w:t>
      </w:r>
      <w:r>
        <w:rPr>
          <w:rFonts w:hint="eastAsia" w:ascii="仿宋_GB2312" w:hAnsi="宋体" w:eastAsia="仿宋_GB2312"/>
          <w:b/>
          <w:spacing w:val="-2"/>
          <w:position w:val="-2"/>
          <w:sz w:val="32"/>
          <w:szCs w:val="32"/>
        </w:rPr>
        <w:t>经营指标完成情况：</w:t>
      </w:r>
      <w:r>
        <w:rPr>
          <w:rFonts w:hint="eastAsia" w:ascii="仿宋_GB2312" w:hAnsi="仿宋" w:eastAsia="仿宋_GB2312" w:cs="仿宋"/>
          <w:color w:val="000000"/>
          <w:spacing w:val="-2"/>
          <w:kern w:val="0"/>
          <w:position w:val="-2"/>
          <w:sz w:val="32"/>
          <w:szCs w:val="32"/>
          <w:lang w:val="en-US" w:eastAsia="zh-CN" w:bidi="ar-SA"/>
        </w:rPr>
        <w:t>实现营业收入2.83亿元，与2018年相比增加收入1000万元，增幅3.7%；实现利润总额850万元，与2018年同期相比增利183万元，提高30%；实现利税总额2400万元，比2018年提高21%。</w:t>
      </w:r>
    </w:p>
    <w:p>
      <w:pPr>
        <w:adjustRightInd w:val="0"/>
        <w:snapToGrid w:val="0"/>
        <w:spacing w:line="600" w:lineRule="exact"/>
        <w:ind w:firstLine="635" w:firstLineChars="200"/>
        <w:rPr>
          <w:rFonts w:hint="eastAsia"/>
          <w:lang w:val="en-US" w:eastAsia="zh-CN"/>
        </w:rPr>
      </w:pPr>
      <w:r>
        <w:rPr>
          <w:rFonts w:hint="eastAsia" w:ascii="仿宋_GB2312" w:hAnsi="仿宋" w:eastAsia="仿宋_GB2312"/>
          <w:b/>
          <w:spacing w:val="-2"/>
          <w:position w:val="-2"/>
          <w:sz w:val="32"/>
          <w:szCs w:val="32"/>
          <w:lang w:val="en-US" w:eastAsia="zh-CN"/>
        </w:rPr>
        <w:t>5、</w:t>
      </w:r>
      <w:r>
        <w:rPr>
          <w:rFonts w:hint="eastAsia" w:ascii="仿宋_GB2312" w:hAnsi="仿宋" w:eastAsia="仿宋_GB2312"/>
          <w:b/>
          <w:spacing w:val="-2"/>
          <w:position w:val="-2"/>
          <w:sz w:val="32"/>
          <w:szCs w:val="32"/>
        </w:rPr>
        <w:t>2020年</w:t>
      </w:r>
      <w:r>
        <w:rPr>
          <w:rFonts w:hint="eastAsia" w:ascii="仿宋_GB2312" w:hAnsi="宋体" w:eastAsia="仿宋_GB2312"/>
          <w:b/>
          <w:spacing w:val="-2"/>
          <w:position w:val="-2"/>
          <w:sz w:val="32"/>
          <w:szCs w:val="32"/>
        </w:rPr>
        <w:t>经营指标完成情况：</w:t>
      </w:r>
      <w:r>
        <w:rPr>
          <w:rFonts w:hint="eastAsia" w:ascii="仿宋_GB2312" w:hAnsi="仿宋" w:eastAsia="仿宋_GB2312" w:cs="仿宋"/>
          <w:color w:val="000000"/>
          <w:spacing w:val="-2"/>
          <w:kern w:val="0"/>
          <w:position w:val="-2"/>
          <w:sz w:val="32"/>
          <w:szCs w:val="32"/>
          <w:lang w:val="en-US" w:eastAsia="zh-CN" w:bidi="ar-SA"/>
        </w:rPr>
        <w:t>实现营业收入3亿元，与2019年相比增加收入1565万元，增幅5.49%；实现利润总额1939.07万元，与2019年同期相比增利987.45万元，提高103.77%；实现利税总额3203.91万元，比2019年提高40.07%。</w:t>
      </w:r>
    </w:p>
    <w:p>
      <w:pPr>
        <w:pStyle w:val="12"/>
        <w:keepNext w:val="0"/>
        <w:keepLines w:val="0"/>
        <w:pageBreakBefore w:val="0"/>
        <w:numPr>
          <w:ilvl w:val="0"/>
          <w:numId w:val="1"/>
        </w:numPr>
        <w:kinsoku/>
        <w:wordWrap/>
        <w:overflowPunct/>
        <w:topLinePunct w:val="0"/>
        <w:autoSpaceDE/>
        <w:autoSpaceDN/>
        <w:bidi w:val="0"/>
        <w:spacing w:line="600" w:lineRule="exact"/>
        <w:ind w:firstLine="635" w:firstLineChars="200"/>
        <w:textAlignment w:val="auto"/>
        <w:rPr>
          <w:rFonts w:hint="eastAsia" w:ascii="楷体_GB2312" w:hAnsi="华文仿宋" w:eastAsia="楷体_GB2312"/>
          <w:b/>
          <w:bCs/>
          <w:spacing w:val="-2"/>
          <w:position w:val="-2"/>
          <w:sz w:val="32"/>
          <w:szCs w:val="32"/>
          <w:lang w:val="en-US" w:eastAsia="zh-CN"/>
        </w:rPr>
      </w:pPr>
      <w:r>
        <w:rPr>
          <w:rFonts w:hint="eastAsia" w:ascii="楷体_GB2312" w:hAnsi="华文仿宋" w:eastAsia="楷体_GB2312"/>
          <w:b/>
          <w:bCs/>
          <w:spacing w:val="-2"/>
          <w:position w:val="-2"/>
          <w:sz w:val="32"/>
          <w:szCs w:val="32"/>
          <w:lang w:val="en-US" w:eastAsia="zh-CN"/>
        </w:rPr>
        <w:t>企业治理建设情况</w:t>
      </w:r>
    </w:p>
    <w:p>
      <w:pPr>
        <w:pStyle w:val="12"/>
        <w:keepNext w:val="0"/>
        <w:keepLines w:val="0"/>
        <w:pageBreakBefore w:val="0"/>
        <w:numPr>
          <w:ilvl w:val="0"/>
          <w:numId w:val="0"/>
        </w:numPr>
        <w:kinsoku/>
        <w:wordWrap/>
        <w:overflowPunct/>
        <w:topLinePunct w:val="0"/>
        <w:autoSpaceDE/>
        <w:autoSpaceDN/>
        <w:bidi w:val="0"/>
        <w:spacing w:line="600" w:lineRule="exact"/>
        <w:ind w:firstLine="635" w:firstLineChars="200"/>
        <w:textAlignment w:val="auto"/>
        <w:rPr>
          <w:rFonts w:hint="eastAsia" w:ascii="仿宋_GB2312" w:eastAsia="仿宋_GB2312"/>
          <w:spacing w:val="-2"/>
          <w:position w:val="-2"/>
          <w:sz w:val="32"/>
          <w:szCs w:val="32"/>
        </w:rPr>
      </w:pPr>
      <w:r>
        <w:rPr>
          <w:rFonts w:hint="eastAsia" w:ascii="仿宋_GB2312" w:hAnsi="宋体" w:eastAsia="仿宋_GB2312" w:cstheme="minorBidi"/>
          <w:b/>
          <w:spacing w:val="-2"/>
          <w:kern w:val="2"/>
          <w:position w:val="-2"/>
          <w:sz w:val="32"/>
          <w:szCs w:val="32"/>
          <w:lang w:val="en-US" w:eastAsia="zh-CN" w:bidi="ar-SA"/>
        </w:rPr>
        <w:t>1、破解金融债务成果显著。</w:t>
      </w:r>
      <w:r>
        <w:rPr>
          <w:rFonts w:hint="eastAsia" w:ascii="仿宋_GB2312" w:hAnsi="宋体" w:eastAsia="仿宋_GB2312"/>
          <w:spacing w:val="-2"/>
          <w:position w:val="-2"/>
          <w:sz w:val="32"/>
          <w:szCs w:val="32"/>
        </w:rPr>
        <w:t>金融债务是大易时期历史遗留问题，</w:t>
      </w:r>
      <w:r>
        <w:rPr>
          <w:rFonts w:hint="eastAsia" w:ascii="仿宋_GB2312" w:eastAsia="仿宋_GB2312"/>
          <w:spacing w:val="-2"/>
          <w:position w:val="-2"/>
          <w:sz w:val="32"/>
          <w:szCs w:val="32"/>
        </w:rPr>
        <w:t>主要涉及8家单位，分别是</w:t>
      </w:r>
      <w:r>
        <w:rPr>
          <w:rFonts w:hint="eastAsia" w:ascii="仿宋_GB2312" w:hAnsi="宋体" w:eastAsia="仿宋_GB2312"/>
          <w:spacing w:val="-2"/>
          <w:position w:val="-2"/>
          <w:sz w:val="32"/>
          <w:szCs w:val="32"/>
        </w:rPr>
        <w:t>信达资产公司、长城资产公司、</w:t>
      </w:r>
      <w:r>
        <w:rPr>
          <w:rFonts w:hint="eastAsia" w:ascii="仿宋_GB2312" w:eastAsia="仿宋_GB2312"/>
          <w:spacing w:val="-2"/>
          <w:position w:val="-2"/>
          <w:sz w:val="32"/>
          <w:szCs w:val="32"/>
        </w:rPr>
        <w:t>山东森信投资发展公司、</w:t>
      </w:r>
      <w:r>
        <w:rPr>
          <w:rFonts w:hint="eastAsia" w:ascii="仿宋_GB2312" w:hAnsi="仿宋" w:eastAsia="仿宋_GB2312"/>
          <w:spacing w:val="-2"/>
          <w:position w:val="-2"/>
          <w:sz w:val="32"/>
          <w:szCs w:val="32"/>
        </w:rPr>
        <w:t>厦门卓信成投资有公司</w:t>
      </w:r>
      <w:r>
        <w:rPr>
          <w:rFonts w:hint="eastAsia" w:ascii="仿宋_GB2312" w:eastAsia="仿宋_GB2312"/>
          <w:spacing w:val="-2"/>
          <w:position w:val="-2"/>
          <w:sz w:val="32"/>
          <w:szCs w:val="32"/>
        </w:rPr>
        <w:t>、</w:t>
      </w:r>
      <w:r>
        <w:rPr>
          <w:rFonts w:hint="eastAsia" w:ascii="仿宋_GB2312" w:hAnsi="华文楷体" w:eastAsia="仿宋_GB2312"/>
          <w:spacing w:val="-2"/>
          <w:position w:val="-2"/>
          <w:sz w:val="32"/>
          <w:szCs w:val="32"/>
        </w:rPr>
        <w:t>济南市能源投资公司、</w:t>
      </w:r>
      <w:r>
        <w:rPr>
          <w:rFonts w:hint="eastAsia" w:ascii="仿宋_GB2312" w:eastAsia="仿宋_GB2312"/>
          <w:spacing w:val="-2"/>
          <w:position w:val="-2"/>
          <w:sz w:val="32"/>
          <w:szCs w:val="32"/>
        </w:rPr>
        <w:t>建行历城支行、英大国际信托公司、商业银行。截止2015年12月末，金融债务本金5.86亿元，利息17.21亿元，本息合计23.07亿元。</w:t>
      </w:r>
      <w:r>
        <w:rPr>
          <w:rFonts w:hint="eastAsia" w:ascii="仿宋_GB2312" w:eastAsia="仿宋_GB2312"/>
          <w:spacing w:val="-2"/>
          <w:position w:val="-2"/>
          <w:sz w:val="32"/>
          <w:szCs w:val="32"/>
          <w:lang w:eastAsia="zh-CN"/>
        </w:rPr>
        <w:t>“</w:t>
      </w:r>
      <w:r>
        <w:rPr>
          <w:rFonts w:hint="eastAsia" w:ascii="仿宋_GB2312" w:eastAsia="仿宋_GB2312"/>
          <w:spacing w:val="-2"/>
          <w:position w:val="-2"/>
          <w:sz w:val="32"/>
          <w:szCs w:val="32"/>
          <w:lang w:val="en-US" w:eastAsia="zh-CN"/>
        </w:rPr>
        <w:t>十三五”时期内，润易集团</w:t>
      </w:r>
      <w:r>
        <w:rPr>
          <w:rFonts w:hint="eastAsia" w:ascii="仿宋_GB2312" w:hAnsi="华文楷体" w:eastAsia="仿宋_GB2312"/>
          <w:spacing w:val="-2"/>
          <w:position w:val="-2"/>
          <w:sz w:val="32"/>
          <w:szCs w:val="32"/>
        </w:rPr>
        <w:t>完成了信达、长城、厦门卓信成和山东森信四户单位的债务和解工作，</w:t>
      </w:r>
      <w:r>
        <w:rPr>
          <w:rFonts w:hint="eastAsia" w:ascii="仿宋_GB2312" w:hAnsi="仿宋" w:eastAsia="仿宋_GB2312" w:cs="仿宋"/>
          <w:spacing w:val="-2"/>
          <w:position w:val="-2"/>
          <w:sz w:val="32"/>
          <w:szCs w:val="32"/>
        </w:rPr>
        <w:t>和解金融</w:t>
      </w:r>
      <w:r>
        <w:rPr>
          <w:rFonts w:hint="eastAsia" w:ascii="仿宋_GB2312" w:eastAsia="仿宋_GB2312"/>
          <w:spacing w:val="-2"/>
          <w:position w:val="-2"/>
          <w:sz w:val="32"/>
          <w:szCs w:val="32"/>
        </w:rPr>
        <w:t>债务本息合计21.2亿元，将困扰企业多年的巨额金融债务解决了91.2%，并解决了相关企业土地查封问题。</w:t>
      </w:r>
    </w:p>
    <w:p>
      <w:pPr>
        <w:keepNext w:val="0"/>
        <w:keepLines w:val="0"/>
        <w:pageBreakBefore w:val="0"/>
        <w:kinsoku/>
        <w:wordWrap/>
        <w:overflowPunct/>
        <w:topLinePunct w:val="0"/>
        <w:autoSpaceDE/>
        <w:autoSpaceDN/>
        <w:bidi w:val="0"/>
        <w:adjustRightInd w:val="0"/>
        <w:snapToGrid w:val="0"/>
        <w:spacing w:line="600" w:lineRule="exact"/>
        <w:ind w:firstLine="635" w:firstLineChars="200"/>
        <w:textAlignment w:val="auto"/>
        <w:rPr>
          <w:rFonts w:hint="eastAsia" w:ascii="仿宋_GB2312" w:hAnsi="仿宋" w:eastAsia="仿宋_GB2312" w:cs="仿宋"/>
          <w:b w:val="0"/>
          <w:spacing w:val="-3"/>
          <w:kern w:val="2"/>
          <w:sz w:val="32"/>
          <w:szCs w:val="32"/>
          <w:lang w:val="en-US" w:eastAsia="zh-CN" w:bidi="ar-SA"/>
        </w:rPr>
      </w:pPr>
      <w:r>
        <w:rPr>
          <w:rFonts w:hint="eastAsia" w:ascii="仿宋_GB2312" w:hAnsi="宋体" w:eastAsia="仿宋_GB2312" w:cstheme="minorBidi"/>
          <w:b/>
          <w:spacing w:val="-2"/>
          <w:kern w:val="2"/>
          <w:position w:val="-2"/>
          <w:sz w:val="32"/>
          <w:szCs w:val="32"/>
          <w:lang w:val="en-US" w:eastAsia="zh-CN" w:bidi="ar-SA"/>
        </w:rPr>
        <w:t>2、企业减员瘦身效果明显。</w:t>
      </w:r>
      <w:r>
        <w:rPr>
          <w:rFonts w:hint="eastAsia" w:ascii="仿宋_GB2312" w:hAnsi="仿宋" w:eastAsia="仿宋_GB2312" w:cs="仿宋"/>
          <w:b w:val="0"/>
          <w:spacing w:val="-3"/>
          <w:kern w:val="2"/>
          <w:sz w:val="32"/>
          <w:szCs w:val="32"/>
          <w:lang w:val="en-US" w:eastAsia="zh-CN" w:bidi="ar-SA"/>
        </w:rPr>
        <w:t>润易集团成立初有在册职工2118人，其中上岗职工560人，下岗职工1558人。集团成立后，利用一年的时间，先后分三批，对1194名职工进行了一次性安置退出。</w:t>
      </w:r>
      <w:r>
        <w:rPr>
          <w:rFonts w:hint="eastAsia" w:ascii="仿宋_GB2312" w:hAnsi="仿宋" w:eastAsia="仿宋_GB2312" w:cs="仿宋"/>
          <w:b w:val="0"/>
          <w:color w:val="auto"/>
          <w:spacing w:val="-3"/>
          <w:kern w:val="2"/>
          <w:sz w:val="32"/>
          <w:szCs w:val="32"/>
          <w:lang w:val="en-US" w:eastAsia="zh-CN" w:bidi="ar-SA"/>
        </w:rPr>
        <w:t>现集团在册职工786人，（上岗职工440人，下岗职工346人）</w:t>
      </w:r>
      <w:r>
        <w:rPr>
          <w:rFonts w:hint="eastAsia" w:ascii="仿宋_GB2312" w:hAnsi="仿宋" w:eastAsia="仿宋_GB2312" w:cs="仿宋"/>
          <w:b w:val="0"/>
          <w:spacing w:val="-3"/>
          <w:kern w:val="2"/>
          <w:sz w:val="32"/>
          <w:szCs w:val="32"/>
          <w:lang w:val="en-US" w:eastAsia="zh-CN" w:bidi="ar-SA"/>
        </w:rPr>
        <w:t>，较好地实现了企业真正意义上的减员减负，使企业能轻装上阵，集中精力谋划发展。</w:t>
      </w:r>
    </w:p>
    <w:p>
      <w:pPr>
        <w:pStyle w:val="12"/>
        <w:keepNext w:val="0"/>
        <w:keepLines w:val="0"/>
        <w:pageBreakBefore w:val="0"/>
        <w:kinsoku/>
        <w:wordWrap/>
        <w:overflowPunct/>
        <w:topLinePunct w:val="0"/>
        <w:autoSpaceDE/>
        <w:autoSpaceDN/>
        <w:bidi w:val="0"/>
        <w:spacing w:line="600" w:lineRule="exact"/>
        <w:ind w:firstLine="635" w:firstLineChars="200"/>
        <w:textAlignment w:val="auto"/>
        <w:rPr>
          <w:rFonts w:hint="eastAsia"/>
        </w:rPr>
      </w:pPr>
      <w:r>
        <w:rPr>
          <w:rFonts w:hint="eastAsia" w:ascii="仿宋_GB2312" w:hAnsi="宋体" w:eastAsia="仿宋_GB2312" w:cstheme="minorBidi"/>
          <w:b/>
          <w:spacing w:val="-2"/>
          <w:kern w:val="2"/>
          <w:position w:val="-2"/>
          <w:sz w:val="32"/>
          <w:szCs w:val="32"/>
          <w:lang w:val="en-US" w:eastAsia="zh-CN" w:bidi="ar-SA"/>
        </w:rPr>
        <w:t>3、资产经营租赁稳步提升。</w:t>
      </w:r>
      <w:r>
        <w:rPr>
          <w:rFonts w:hint="eastAsia" w:ascii="仿宋_GB2312" w:hAnsi="仿宋" w:eastAsia="仿宋_GB2312" w:cs="仿宋"/>
          <w:b w:val="0"/>
          <w:spacing w:val="-3"/>
          <w:kern w:val="2"/>
          <w:sz w:val="32"/>
          <w:szCs w:val="32"/>
          <w:lang w:val="en-US" w:eastAsia="zh-CN" w:bidi="ar-SA"/>
        </w:rPr>
        <w:t>润易集团坚持立足当前基础，</w:t>
      </w:r>
      <w:r>
        <w:rPr>
          <w:rFonts w:hint="eastAsia" w:ascii="仿宋_GB2312" w:hAnsi="仿宋" w:eastAsia="仿宋_GB2312" w:cs="仿宋"/>
          <w:spacing w:val="-3"/>
          <w:sz w:val="32"/>
          <w:szCs w:val="32"/>
        </w:rPr>
        <w:t>充分发挥现有资源优势，在加大对市场需求调研的基础上，积极“走出去，请进来”，引进专业市场，扩大市场规模，提升市场形象，提高整体效益，从而确保国有资产的保值增值。资产的经营收入，2015年为7600万元，现在已达到</w:t>
      </w:r>
      <w:r>
        <w:rPr>
          <w:rFonts w:hint="eastAsia" w:ascii="仿宋_GB2312" w:hAnsi="仿宋" w:eastAsia="仿宋_GB2312" w:cs="仿宋"/>
          <w:spacing w:val="-3"/>
          <w:sz w:val="32"/>
          <w:szCs w:val="32"/>
          <w:lang w:val="en-US" w:eastAsia="zh-CN"/>
        </w:rPr>
        <w:t>11003</w:t>
      </w:r>
      <w:r>
        <w:rPr>
          <w:rFonts w:hint="eastAsia" w:ascii="仿宋_GB2312" w:hAnsi="仿宋" w:eastAsia="仿宋_GB2312" w:cs="仿宋"/>
          <w:spacing w:val="-3"/>
          <w:sz w:val="32"/>
          <w:szCs w:val="32"/>
        </w:rPr>
        <w:t>万元，增长</w:t>
      </w:r>
      <w:r>
        <w:rPr>
          <w:rFonts w:hint="eastAsia" w:ascii="仿宋_GB2312" w:hAnsi="仿宋" w:eastAsia="仿宋_GB2312" w:cs="仿宋"/>
          <w:spacing w:val="-3"/>
          <w:sz w:val="32"/>
          <w:szCs w:val="32"/>
          <w:lang w:val="en-US" w:eastAsia="zh-CN"/>
        </w:rPr>
        <w:t>44.78</w:t>
      </w:r>
      <w:r>
        <w:rPr>
          <w:rFonts w:hint="eastAsia" w:ascii="仿宋_GB2312" w:hAnsi="仿宋" w:eastAsia="仿宋_GB2312" w:cs="仿宋"/>
          <w:spacing w:val="-3"/>
          <w:sz w:val="32"/>
          <w:szCs w:val="32"/>
        </w:rPr>
        <w:t>%。</w:t>
      </w:r>
    </w:p>
    <w:p>
      <w:pPr>
        <w:keepNext w:val="0"/>
        <w:keepLines w:val="0"/>
        <w:pageBreakBefore w:val="0"/>
        <w:widowControl w:val="0"/>
        <w:kinsoku/>
        <w:wordWrap/>
        <w:overflowPunct/>
        <w:topLinePunct w:val="0"/>
        <w:autoSpaceDE/>
        <w:autoSpaceDN/>
        <w:bidi w:val="0"/>
        <w:spacing w:line="600" w:lineRule="exact"/>
        <w:ind w:firstLine="635" w:firstLineChars="200"/>
        <w:textAlignment w:val="auto"/>
        <w:rPr>
          <w:rFonts w:hint="default" w:ascii="楷体_GB2312" w:hAnsi="楷体" w:eastAsia="楷体_GB2312" w:cs="楷体"/>
          <w:b/>
          <w:spacing w:val="-2"/>
          <w:position w:val="-2"/>
          <w:sz w:val="32"/>
          <w:szCs w:val="32"/>
          <w:lang w:val="en-US" w:eastAsia="zh-CN"/>
        </w:rPr>
      </w:pPr>
      <w:r>
        <w:rPr>
          <w:rFonts w:hint="eastAsia" w:ascii="楷体_GB2312" w:hAnsi="宋体" w:eastAsia="楷体_GB2312"/>
          <w:b/>
          <w:spacing w:val="-2"/>
          <w:position w:val="-2"/>
          <w:sz w:val="32"/>
          <w:szCs w:val="32"/>
        </w:rPr>
        <w:t>（</w:t>
      </w:r>
      <w:r>
        <w:rPr>
          <w:rFonts w:hint="eastAsia" w:ascii="楷体_GB2312" w:hAnsi="宋体" w:eastAsia="楷体_GB2312"/>
          <w:b/>
          <w:spacing w:val="-2"/>
          <w:position w:val="-2"/>
          <w:sz w:val="32"/>
          <w:szCs w:val="32"/>
          <w:lang w:val="en-US" w:eastAsia="zh-CN"/>
        </w:rPr>
        <w:t>三</w:t>
      </w:r>
      <w:r>
        <w:rPr>
          <w:rFonts w:hint="eastAsia" w:ascii="楷体_GB2312" w:hAnsi="宋体" w:eastAsia="楷体_GB2312"/>
          <w:b/>
          <w:spacing w:val="-2"/>
          <w:position w:val="-2"/>
          <w:sz w:val="32"/>
          <w:szCs w:val="32"/>
        </w:rPr>
        <w:t>）</w:t>
      </w:r>
      <w:r>
        <w:rPr>
          <w:rFonts w:hint="eastAsia" w:ascii="楷体_GB2312" w:hAnsi="楷体" w:eastAsia="楷体_GB2312" w:cs="楷体"/>
          <w:b/>
          <w:spacing w:val="-2"/>
          <w:position w:val="-2"/>
          <w:sz w:val="32"/>
          <w:szCs w:val="32"/>
          <w:lang w:val="en-US" w:eastAsia="zh-CN"/>
        </w:rPr>
        <w:t>造纸</w:t>
      </w:r>
      <w:r>
        <w:rPr>
          <w:rFonts w:hint="eastAsia" w:ascii="楷体_GB2312" w:hAnsi="楷体" w:eastAsia="楷体_GB2312" w:cs="楷体"/>
          <w:b/>
          <w:spacing w:val="-2"/>
          <w:position w:val="-2"/>
          <w:sz w:val="32"/>
          <w:szCs w:val="32"/>
        </w:rPr>
        <w:t>主业</w:t>
      </w:r>
      <w:r>
        <w:rPr>
          <w:rFonts w:hint="eastAsia" w:ascii="楷体_GB2312" w:hAnsi="楷体" w:eastAsia="楷体_GB2312" w:cs="楷体"/>
          <w:b/>
          <w:spacing w:val="-2"/>
          <w:position w:val="-2"/>
          <w:sz w:val="32"/>
          <w:szCs w:val="32"/>
          <w:lang w:val="en-US" w:eastAsia="zh-CN"/>
        </w:rPr>
        <w:t>发展情况</w:t>
      </w:r>
    </w:p>
    <w:p>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eastAsia="仿宋_GB2312"/>
          <w:spacing w:val="-2"/>
          <w:position w:val="-2"/>
          <w:sz w:val="32"/>
          <w:szCs w:val="32"/>
        </w:rPr>
      </w:pPr>
      <w:r>
        <w:rPr>
          <w:rFonts w:hint="eastAsia" w:ascii="仿宋_GB2312" w:hAnsi="仿宋" w:eastAsia="仿宋_GB2312"/>
          <w:bCs/>
          <w:spacing w:val="-2"/>
          <w:kern w:val="32"/>
          <w:position w:val="-2"/>
          <w:sz w:val="32"/>
          <w:szCs w:val="32"/>
        </w:rPr>
        <w:t>13年前，</w:t>
      </w:r>
      <w:r>
        <w:rPr>
          <w:rFonts w:hint="eastAsia" w:ascii="仿宋_GB2312" w:hAnsi="仿宋" w:eastAsia="仿宋_GB2312"/>
          <w:spacing w:val="-2"/>
          <w:kern w:val="32"/>
          <w:position w:val="-2"/>
          <w:sz w:val="32"/>
          <w:szCs w:val="32"/>
        </w:rPr>
        <w:t>因环保要求，位于市区4家造纸厂全部停产，只能</w:t>
      </w:r>
      <w:r>
        <w:rPr>
          <w:rFonts w:hint="eastAsia" w:ascii="仿宋_GB2312" w:eastAsia="仿宋_GB2312"/>
          <w:spacing w:val="-2"/>
          <w:position w:val="-2"/>
          <w:sz w:val="32"/>
          <w:szCs w:val="32"/>
        </w:rPr>
        <w:t>采取以企业的技术工艺和特种纸品牌进行贴牌生产。现主要贴牌经营</w:t>
      </w:r>
      <w:r>
        <w:rPr>
          <w:rFonts w:hint="eastAsia" w:ascii="仿宋_GB2312" w:hAnsi="宋体" w:eastAsia="仿宋_GB2312" w:cs="宋体"/>
          <w:spacing w:val="-2"/>
          <w:kern w:val="0"/>
          <w:position w:val="-2"/>
          <w:sz w:val="32"/>
          <w:szCs w:val="32"/>
        </w:rPr>
        <w:t>的特种纸、专用纸系列产品有20余种</w:t>
      </w:r>
      <w:r>
        <w:rPr>
          <w:rFonts w:hint="eastAsia" w:ascii="仿宋_GB2312" w:eastAsia="仿宋_GB2312"/>
          <w:spacing w:val="-2"/>
          <w:position w:val="-2"/>
          <w:sz w:val="32"/>
          <w:szCs w:val="32"/>
        </w:rPr>
        <w:t>，其中：化纤纸、羊皮纸、字典纸、缠卷绝缘纸在全国的市场占有率基本保持在30%左右。鉴于这种情况，为了</w:t>
      </w:r>
      <w:r>
        <w:rPr>
          <w:rFonts w:hint="eastAsia" w:ascii="仿宋_GB2312" w:hAnsi="仿宋" w:eastAsia="仿宋_GB2312" w:cs="仿宋"/>
          <w:spacing w:val="-2"/>
          <w:position w:val="-2"/>
          <w:sz w:val="32"/>
          <w:szCs w:val="32"/>
        </w:rPr>
        <w:t>使济南造纸得以传承发展，我们将鲁丰、晨光、金至等公司的特种纸产品、技术、销售等资源进行整合，成立了济南欣易特种纸业有限公司，</w:t>
      </w:r>
      <w:r>
        <w:rPr>
          <w:rFonts w:hint="eastAsia" w:ascii="仿宋_GB2312" w:eastAsia="仿宋_GB2312"/>
          <w:spacing w:val="-2"/>
          <w:position w:val="-2"/>
          <w:sz w:val="32"/>
          <w:szCs w:val="32"/>
        </w:rPr>
        <w:t>从而</w:t>
      </w:r>
      <w:r>
        <w:rPr>
          <w:rFonts w:hint="eastAsia" w:ascii="仿宋_GB2312" w:hAnsi="仿宋" w:eastAsia="仿宋_GB2312"/>
          <w:spacing w:val="-2"/>
          <w:kern w:val="32"/>
          <w:position w:val="-2"/>
          <w:sz w:val="32"/>
          <w:szCs w:val="32"/>
        </w:rPr>
        <w:t>形成</w:t>
      </w:r>
      <w:r>
        <w:rPr>
          <w:rFonts w:hint="eastAsia" w:ascii="仿宋_GB2312" w:eastAsia="仿宋_GB2312"/>
          <w:spacing w:val="-2"/>
          <w:kern w:val="32"/>
          <w:position w:val="-2"/>
          <w:sz w:val="32"/>
          <w:szCs w:val="32"/>
        </w:rPr>
        <w:t>以</w:t>
      </w:r>
      <w:r>
        <w:rPr>
          <w:rFonts w:hint="eastAsia" w:ascii="仿宋_GB2312" w:eastAsia="仿宋_GB2312"/>
          <w:spacing w:val="-2"/>
          <w:position w:val="-2"/>
          <w:sz w:val="32"/>
          <w:szCs w:val="32"/>
        </w:rPr>
        <w:t>欣易公司为主体，重点打造特种纸产业的可持续发展。</w:t>
      </w:r>
    </w:p>
    <w:p>
      <w:pPr>
        <w:keepNext w:val="0"/>
        <w:keepLines w:val="0"/>
        <w:pageBreakBefore w:val="0"/>
        <w:widowControl w:val="0"/>
        <w:kinsoku/>
        <w:wordWrap/>
        <w:overflowPunct/>
        <w:topLinePunct w:val="0"/>
        <w:autoSpaceDE/>
        <w:autoSpaceDN/>
        <w:bidi w:val="0"/>
        <w:spacing w:line="600" w:lineRule="exact"/>
        <w:ind w:firstLine="632" w:firstLineChars="200"/>
        <w:textAlignment w:val="auto"/>
        <w:rPr>
          <w:rFonts w:hint="eastAsia" w:ascii="仿宋_GB2312" w:hAnsi="仿宋" w:eastAsia="仿宋_GB2312" w:cs="仿宋"/>
          <w:spacing w:val="-2"/>
          <w:position w:val="-2"/>
          <w:sz w:val="32"/>
          <w:szCs w:val="32"/>
        </w:rPr>
      </w:pPr>
      <w:r>
        <w:rPr>
          <w:rFonts w:hint="eastAsia" w:ascii="仿宋_GB2312" w:eastAsia="仿宋_GB2312"/>
          <w:spacing w:val="-2"/>
          <w:position w:val="-2"/>
          <w:sz w:val="32"/>
          <w:szCs w:val="32"/>
          <w:lang w:val="en-US" w:eastAsia="zh-CN"/>
        </w:rPr>
        <w:t>“十三五”期间</w:t>
      </w:r>
      <w:r>
        <w:rPr>
          <w:rFonts w:hint="eastAsia" w:ascii="仿宋_GB2312" w:eastAsia="仿宋_GB2312"/>
          <w:spacing w:val="-2"/>
          <w:position w:val="-2"/>
          <w:sz w:val="32"/>
          <w:szCs w:val="32"/>
        </w:rPr>
        <w:t>，</w:t>
      </w:r>
      <w:r>
        <w:rPr>
          <w:rFonts w:hint="eastAsia" w:ascii="仿宋_GB2312" w:eastAsia="仿宋_GB2312"/>
          <w:spacing w:val="-2"/>
          <w:position w:val="-2"/>
          <w:sz w:val="32"/>
          <w:szCs w:val="32"/>
          <w:lang w:val="en-US" w:eastAsia="zh-CN"/>
        </w:rPr>
        <w:t>润易集团</w:t>
      </w:r>
      <w:r>
        <w:rPr>
          <w:rFonts w:hint="eastAsia" w:ascii="仿宋_GB2312" w:eastAsia="仿宋_GB2312"/>
          <w:spacing w:val="-2"/>
          <w:position w:val="-2"/>
          <w:sz w:val="32"/>
          <w:szCs w:val="32"/>
        </w:rPr>
        <w:t>不断为特种纸发展注入活力，并取得了许多</w:t>
      </w:r>
      <w:r>
        <w:rPr>
          <w:rFonts w:hint="eastAsia" w:ascii="仿宋_GB2312" w:hAnsi="楷体" w:eastAsia="仿宋_GB2312" w:cs="楷体"/>
          <w:spacing w:val="-2"/>
          <w:position w:val="-2"/>
          <w:sz w:val="32"/>
          <w:szCs w:val="32"/>
        </w:rPr>
        <w:t>新突破。</w:t>
      </w:r>
      <w:r>
        <w:rPr>
          <w:rFonts w:hint="eastAsia" w:ascii="仿宋_GB2312" w:hAnsi="楷体" w:eastAsia="仿宋_GB2312" w:cs="楷体"/>
          <w:b/>
          <w:spacing w:val="-2"/>
          <w:position w:val="-2"/>
          <w:sz w:val="32"/>
          <w:szCs w:val="32"/>
        </w:rPr>
        <w:t>一是</w:t>
      </w:r>
      <w:r>
        <w:rPr>
          <w:rFonts w:hint="eastAsia" w:ascii="仿宋_GB2312" w:eastAsia="仿宋_GB2312"/>
          <w:b/>
          <w:spacing w:val="-2"/>
          <w:position w:val="-2"/>
          <w:sz w:val="32"/>
          <w:szCs w:val="32"/>
        </w:rPr>
        <w:t>提升特种纸核心技术优势，赢回行业话语权。</w:t>
      </w:r>
      <w:r>
        <w:rPr>
          <w:rFonts w:hint="eastAsia" w:ascii="仿宋_GB2312" w:eastAsia="仿宋_GB2312"/>
          <w:spacing w:val="-2"/>
          <w:position w:val="-2"/>
          <w:sz w:val="32"/>
          <w:szCs w:val="32"/>
        </w:rPr>
        <w:t>这些年来企业虽然不能生产，但是我们的技术团队仍然保留，产品技术研发一刻也没有停止。通过加大技术研发和技术创新，连续突破了</w:t>
      </w:r>
      <w:r>
        <w:rPr>
          <w:rFonts w:hint="eastAsia" w:ascii="仿宋_GB2312" w:hAnsi="仿宋" w:eastAsia="仿宋_GB2312"/>
          <w:spacing w:val="-2"/>
          <w:position w:val="-2"/>
          <w:sz w:val="32"/>
          <w:szCs w:val="32"/>
        </w:rPr>
        <w:t>“T级羊皮纸生产工艺的研究”、“镜面高光RC相纸原纸及生产工艺”两个省科技创新项目，并获得省经信委的批准。同时“工业羊皮纸”荣获“山东省企业技术创新二等奖”；字典纸荣获“山东省企业技术创新三等奖”。另外还取得发明专利3项，</w:t>
      </w:r>
      <w:r>
        <w:rPr>
          <w:rFonts w:hint="eastAsia" w:ascii="仿宋_GB2312" w:hAnsi="仿宋" w:eastAsia="仿宋_GB2312" w:cs="宋体"/>
          <w:bCs/>
          <w:spacing w:val="-2"/>
          <w:kern w:val="0"/>
          <w:position w:val="-2"/>
          <w:sz w:val="32"/>
          <w:szCs w:val="32"/>
        </w:rPr>
        <w:t>实用新型专利11项，外观设计专利6项。</w:t>
      </w:r>
      <w:r>
        <w:rPr>
          <w:rFonts w:hint="eastAsia" w:ascii="仿宋_GB2312" w:hAnsi="仿宋" w:eastAsia="仿宋_GB2312"/>
          <w:spacing w:val="-2"/>
          <w:position w:val="-2"/>
          <w:sz w:val="32"/>
          <w:szCs w:val="32"/>
        </w:rPr>
        <w:t>正是由于自身核心技术优势的不断提升，</w:t>
      </w:r>
      <w:r>
        <w:rPr>
          <w:rFonts w:hint="eastAsia" w:ascii="仿宋_GB2312" w:hAnsi="Helvetica" w:eastAsia="仿宋_GB2312"/>
          <w:spacing w:val="-2"/>
          <w:position w:val="-2"/>
          <w:sz w:val="32"/>
          <w:szCs w:val="32"/>
        </w:rPr>
        <w:t>不仅提高了特种纸系列产品的技术含量，也大大提升了</w:t>
      </w:r>
      <w:r>
        <w:rPr>
          <w:rFonts w:hint="eastAsia" w:ascii="仿宋_GB2312" w:eastAsia="仿宋_GB2312"/>
          <w:spacing w:val="-2"/>
          <w:position w:val="-2"/>
          <w:sz w:val="32"/>
          <w:szCs w:val="32"/>
        </w:rPr>
        <w:t>特种纸的核心竞争优势，</w:t>
      </w:r>
      <w:r>
        <w:rPr>
          <w:rFonts w:hint="eastAsia" w:ascii="仿宋_GB2312" w:hAnsi="仿宋" w:eastAsia="仿宋_GB2312" w:cs="宋体"/>
          <w:bCs/>
          <w:spacing w:val="-2"/>
          <w:kern w:val="0"/>
          <w:position w:val="-2"/>
          <w:sz w:val="32"/>
          <w:szCs w:val="32"/>
        </w:rPr>
        <w:t>并在2018年</w:t>
      </w:r>
      <w:r>
        <w:rPr>
          <w:rFonts w:hint="eastAsia" w:ascii="仿宋_GB2312" w:hAnsi="仿宋" w:eastAsia="仿宋_GB2312"/>
          <w:spacing w:val="-2"/>
          <w:position w:val="-2"/>
          <w:sz w:val="32"/>
          <w:szCs w:val="32"/>
        </w:rPr>
        <w:t>荣获全国特纸委颁发的“特种纸产业创新企业” 奖，这在特种纸行业中是一个含金量最高的奖项，因此也赢得了行业的尊重和话语权。</w:t>
      </w:r>
      <w:r>
        <w:rPr>
          <w:rFonts w:hint="eastAsia" w:ascii="仿宋_GB2312" w:hAnsi="仿宋" w:eastAsia="仿宋_GB2312"/>
          <w:b/>
          <w:spacing w:val="-2"/>
          <w:position w:val="-2"/>
          <w:sz w:val="32"/>
          <w:szCs w:val="32"/>
        </w:rPr>
        <w:t>二是注重</w:t>
      </w:r>
      <w:r>
        <w:rPr>
          <w:rFonts w:hint="eastAsia" w:ascii="仿宋_GB2312" w:hAnsi="Helvetica" w:eastAsia="仿宋_GB2312"/>
          <w:b/>
          <w:spacing w:val="-2"/>
          <w:position w:val="-2"/>
          <w:sz w:val="32"/>
          <w:szCs w:val="32"/>
        </w:rPr>
        <w:t>企业形象</w:t>
      </w:r>
      <w:r>
        <w:rPr>
          <w:rFonts w:hint="eastAsia" w:ascii="仿宋_GB2312" w:hAnsi="仿宋" w:eastAsia="仿宋_GB2312"/>
          <w:b/>
          <w:spacing w:val="-2"/>
          <w:position w:val="-2"/>
          <w:sz w:val="32"/>
          <w:szCs w:val="32"/>
        </w:rPr>
        <w:t>宣传</w:t>
      </w:r>
      <w:r>
        <w:rPr>
          <w:rFonts w:hint="eastAsia" w:ascii="仿宋_GB2312" w:hAnsi="Helvetica" w:eastAsia="仿宋_GB2312"/>
          <w:b/>
          <w:spacing w:val="-2"/>
          <w:position w:val="-2"/>
          <w:sz w:val="32"/>
          <w:szCs w:val="32"/>
        </w:rPr>
        <w:t>，</w:t>
      </w:r>
      <w:r>
        <w:rPr>
          <w:rFonts w:hint="eastAsia" w:ascii="仿宋_GB2312" w:hAnsi="Arial" w:eastAsia="仿宋_GB2312" w:cs="Arial"/>
          <w:b/>
          <w:spacing w:val="-2"/>
          <w:position w:val="-2"/>
          <w:sz w:val="32"/>
          <w:szCs w:val="32"/>
          <w:shd w:val="clear" w:color="auto" w:fill="FFFFFF"/>
        </w:rPr>
        <w:t>增强企业的知名度和美誉度</w:t>
      </w:r>
      <w:r>
        <w:rPr>
          <w:rFonts w:hint="eastAsia" w:ascii="仿宋_GB2312" w:hAnsi="Helvetica" w:eastAsia="仿宋_GB2312"/>
          <w:b/>
          <w:spacing w:val="-2"/>
          <w:position w:val="-2"/>
          <w:sz w:val="32"/>
          <w:szCs w:val="32"/>
        </w:rPr>
        <w:t>。</w:t>
      </w:r>
      <w:r>
        <w:rPr>
          <w:rFonts w:hint="eastAsia" w:ascii="仿宋_GB2312" w:hAnsi="仿宋" w:eastAsia="仿宋_GB2312"/>
          <w:spacing w:val="-2"/>
          <w:position w:val="-2"/>
          <w:sz w:val="32"/>
          <w:szCs w:val="32"/>
        </w:rPr>
        <w:t>2018年4月，润易集团成功召开了特种纸产业发展战略研讨会，通过对企业发展战略的宣传推介，极大提高了企业知名度，并顺利参与了中信出版集团的招标，经过近三个月初审复审产品试印后成功中标。这也标志着企业正式打开北京出版市场的大门，进军高端文化用纸市场，对今后推动企业特种文化用纸发展起到重要作用。</w:t>
      </w:r>
      <w:r>
        <w:rPr>
          <w:rFonts w:hint="eastAsia" w:ascii="仿宋_GB2312" w:hAnsi="仿宋" w:eastAsia="仿宋_GB2312"/>
          <w:b/>
          <w:spacing w:val="-2"/>
          <w:position w:val="-2"/>
          <w:sz w:val="32"/>
          <w:szCs w:val="32"/>
        </w:rPr>
        <w:t>三是凝神聚力抓好特种纸生产</w:t>
      </w:r>
      <w:r>
        <w:rPr>
          <w:rFonts w:hint="eastAsia" w:ascii="仿宋_GB2312" w:hAnsi="楷体" w:eastAsia="仿宋_GB2312" w:cs="楷体"/>
          <w:b/>
          <w:spacing w:val="-2"/>
          <w:position w:val="-2"/>
          <w:sz w:val="32"/>
          <w:szCs w:val="32"/>
        </w:rPr>
        <w:t>基地建设，为实现造纸产业跨越式发展奠定良好基础。</w:t>
      </w:r>
      <w:r>
        <w:rPr>
          <w:rFonts w:hint="eastAsia" w:ascii="仿宋_GB2312" w:hAnsi="仿宋" w:eastAsia="仿宋_GB2312" w:cs="仿宋"/>
          <w:spacing w:val="-2"/>
          <w:position w:val="-2"/>
          <w:sz w:val="32"/>
          <w:szCs w:val="32"/>
        </w:rPr>
        <w:t>随着特种纸市场用量需求增加，再继续贴牌生产难以满足市场需要，</w:t>
      </w:r>
      <w:r>
        <w:rPr>
          <w:rFonts w:hint="eastAsia" w:ascii="仿宋_GB2312" w:hAnsi="楷体" w:eastAsia="仿宋_GB2312" w:cs="楷体"/>
          <w:spacing w:val="-2"/>
          <w:position w:val="-2"/>
          <w:sz w:val="32"/>
          <w:szCs w:val="32"/>
        </w:rPr>
        <w:t>为彻底扭转这种</w:t>
      </w:r>
      <w:r>
        <w:rPr>
          <w:rFonts w:hint="eastAsia" w:ascii="仿宋_GB2312" w:hAnsi="仿宋" w:eastAsia="仿宋_GB2312"/>
          <w:spacing w:val="-2"/>
          <w:position w:val="-2"/>
          <w:sz w:val="32"/>
          <w:szCs w:val="32"/>
        </w:rPr>
        <w:t>单纯依赖外加工的经营模式，尽快实现</w:t>
      </w:r>
      <w:r>
        <w:rPr>
          <w:rFonts w:hint="eastAsia" w:ascii="仿宋_GB2312" w:hAnsi="仿宋" w:eastAsia="仿宋_GB2312" w:cs="仿宋"/>
          <w:spacing w:val="-2"/>
          <w:position w:val="-2"/>
          <w:sz w:val="32"/>
          <w:szCs w:val="32"/>
        </w:rPr>
        <w:t>造纸产业的自我发展成为重中之重</w:t>
      </w:r>
      <w:r>
        <w:rPr>
          <w:rFonts w:hint="eastAsia" w:ascii="仿宋_GB2312" w:hAnsi="楷体" w:eastAsia="仿宋_GB2312" w:cs="楷体"/>
          <w:spacing w:val="-2"/>
          <w:position w:val="-2"/>
          <w:sz w:val="32"/>
          <w:szCs w:val="32"/>
        </w:rPr>
        <w:t>。对此，在市国资委领导关心支持下，</w:t>
      </w:r>
      <w:r>
        <w:rPr>
          <w:rFonts w:hint="eastAsia" w:ascii="仿宋_GB2312" w:hAnsi="仿宋" w:eastAsia="仿宋_GB2312"/>
          <w:spacing w:val="-2"/>
          <w:position w:val="-2"/>
          <w:sz w:val="32"/>
          <w:szCs w:val="32"/>
        </w:rPr>
        <w:t>2017年6月，我们在齐河县潘店镇征购了</w:t>
      </w:r>
      <w:r>
        <w:rPr>
          <w:rFonts w:hint="eastAsia" w:ascii="仿宋_GB2312" w:hAnsi="仿宋" w:eastAsia="仿宋_GB2312"/>
          <w:spacing w:val="-2"/>
          <w:position w:val="-2"/>
          <w:sz w:val="32"/>
          <w:szCs w:val="32"/>
          <w:lang w:val="en-US" w:eastAsia="zh-CN"/>
        </w:rPr>
        <w:t>155</w:t>
      </w:r>
      <w:r>
        <w:rPr>
          <w:rFonts w:hint="eastAsia" w:ascii="仿宋_GB2312" w:hAnsi="仿宋" w:eastAsia="仿宋_GB2312"/>
          <w:spacing w:val="-2"/>
          <w:position w:val="-2"/>
          <w:sz w:val="32"/>
          <w:szCs w:val="32"/>
        </w:rPr>
        <w:t>亩建设用地，作为特种纸的生产基地。经过半年多的努力，顺利</w:t>
      </w:r>
      <w:r>
        <w:rPr>
          <w:rFonts w:hint="eastAsia" w:ascii="仿宋_GB2312" w:hAnsi="仿宋" w:eastAsia="仿宋_GB2312" w:cs="仿宋"/>
          <w:spacing w:val="-2"/>
          <w:position w:val="-2"/>
          <w:sz w:val="32"/>
          <w:szCs w:val="32"/>
        </w:rPr>
        <w:t>完成了</w:t>
      </w:r>
      <w:r>
        <w:rPr>
          <w:rFonts w:hint="eastAsia" w:ascii="仿宋_GB2312" w:hAnsi="仿宋" w:eastAsia="仿宋_GB2312"/>
          <w:spacing w:val="-2"/>
          <w:position w:val="-2"/>
          <w:sz w:val="32"/>
          <w:szCs w:val="32"/>
        </w:rPr>
        <w:t>生产基地</w:t>
      </w:r>
      <w:r>
        <w:rPr>
          <w:rFonts w:hint="eastAsia" w:ascii="仿宋_GB2312" w:hAnsi="仿宋" w:eastAsia="仿宋_GB2312" w:cs="仿宋"/>
          <w:spacing w:val="-2"/>
          <w:position w:val="-2"/>
          <w:sz w:val="32"/>
          <w:szCs w:val="32"/>
        </w:rPr>
        <w:t>项目建设前期基础性工作。</w:t>
      </w:r>
      <w:r>
        <w:rPr>
          <w:rFonts w:hint="eastAsia" w:ascii="仿宋_GB2312" w:hAnsi="仿宋" w:eastAsia="仿宋_GB2312"/>
          <w:spacing w:val="-2"/>
          <w:position w:val="-2"/>
          <w:sz w:val="32"/>
          <w:szCs w:val="32"/>
        </w:rPr>
        <w:t>进入2018年，我们</w:t>
      </w:r>
      <w:r>
        <w:rPr>
          <w:rFonts w:hint="eastAsia" w:ascii="仿宋_GB2312" w:eastAsia="仿宋_GB2312"/>
          <w:spacing w:val="-2"/>
          <w:position w:val="-2"/>
          <w:sz w:val="32"/>
          <w:szCs w:val="32"/>
        </w:rPr>
        <w:t>集中精力聚焦</w:t>
      </w:r>
      <w:r>
        <w:rPr>
          <w:rFonts w:hint="eastAsia" w:ascii="仿宋_GB2312" w:hAnsi="仿宋" w:eastAsia="仿宋_GB2312"/>
          <w:spacing w:val="-2"/>
          <w:position w:val="-2"/>
          <w:sz w:val="32"/>
          <w:szCs w:val="32"/>
        </w:rPr>
        <w:t>齐河潘店特种纸生产基地建设，经过一年的努力，</w:t>
      </w:r>
      <w:r>
        <w:rPr>
          <w:rFonts w:hint="eastAsia" w:ascii="仿宋_GB2312" w:hAnsi="仿宋" w:eastAsia="仿宋_GB2312" w:cs="仿宋"/>
          <w:spacing w:val="-2"/>
          <w:position w:val="-2"/>
          <w:sz w:val="32"/>
          <w:szCs w:val="32"/>
        </w:rPr>
        <w:t>于2019年</w:t>
      </w:r>
      <w:r>
        <w:rPr>
          <w:rFonts w:ascii="仿宋_GB2312" w:hAnsi="仿宋" w:eastAsia="仿宋_GB2312" w:cs="仿宋"/>
          <w:spacing w:val="-2"/>
          <w:position w:val="-2"/>
          <w:sz w:val="32"/>
          <w:szCs w:val="32"/>
        </w:rPr>
        <w:t>4</w:t>
      </w:r>
      <w:r>
        <w:rPr>
          <w:rFonts w:hint="eastAsia" w:ascii="仿宋_GB2312" w:hAnsi="仿宋" w:eastAsia="仿宋_GB2312" w:cs="仿宋"/>
          <w:spacing w:val="-2"/>
          <w:position w:val="-2"/>
          <w:sz w:val="32"/>
          <w:szCs w:val="32"/>
        </w:rPr>
        <w:t>月顺利建成投产，这也标志着济南传统造纸产业在全面停产</w:t>
      </w:r>
      <w:r>
        <w:rPr>
          <w:rFonts w:ascii="仿宋_GB2312" w:hAnsi="仿宋" w:eastAsia="仿宋_GB2312" w:cs="仿宋"/>
          <w:spacing w:val="-2"/>
          <w:position w:val="-2"/>
          <w:sz w:val="32"/>
          <w:szCs w:val="32"/>
        </w:rPr>
        <w:t>13</w:t>
      </w:r>
      <w:r>
        <w:rPr>
          <w:rFonts w:hint="eastAsia" w:ascii="仿宋_GB2312" w:hAnsi="仿宋" w:eastAsia="仿宋_GB2312" w:cs="仿宋"/>
          <w:spacing w:val="-2"/>
          <w:position w:val="-2"/>
          <w:sz w:val="32"/>
          <w:szCs w:val="32"/>
        </w:rPr>
        <w:t>年后实现了涅</w:t>
      </w:r>
      <w:r>
        <w:rPr>
          <w:rFonts w:hint="eastAsia" w:ascii="宋体" w:hAnsi="宋体" w:cs="宋体"/>
          <w:spacing w:val="-2"/>
          <w:position w:val="-2"/>
          <w:sz w:val="32"/>
          <w:szCs w:val="32"/>
        </w:rPr>
        <w:t>槃</w:t>
      </w:r>
      <w:r>
        <w:rPr>
          <w:rFonts w:hint="eastAsia" w:ascii="仿宋_GB2312" w:hAnsi="仿宋" w:eastAsia="仿宋_GB2312" w:cs="仿宋"/>
          <w:spacing w:val="-2"/>
          <w:position w:val="-2"/>
          <w:sz w:val="32"/>
          <w:szCs w:val="32"/>
        </w:rPr>
        <w:t>重生，重新将济南造纸产业发展的命运掌握在自己手中。</w:t>
      </w:r>
      <w:r>
        <w:rPr>
          <w:rFonts w:hint="eastAsia" w:ascii="仿宋_GB2312" w:hAnsi="仿宋" w:eastAsia="仿宋_GB2312" w:cs="仿宋"/>
          <w:spacing w:val="-2"/>
          <w:position w:val="-2"/>
          <w:sz w:val="32"/>
          <w:szCs w:val="32"/>
          <w:u w:val="none"/>
        </w:rPr>
        <w:t>自</w:t>
      </w:r>
      <w:r>
        <w:rPr>
          <w:rFonts w:hint="eastAsia" w:ascii="仿宋_GB2312" w:hAnsi="宋体" w:eastAsia="仿宋_GB2312"/>
          <w:spacing w:val="-2"/>
          <w:position w:val="-2"/>
          <w:sz w:val="32"/>
          <w:szCs w:val="32"/>
          <w:u w:val="none"/>
        </w:rPr>
        <w:t>投产以来已完成</w:t>
      </w:r>
      <w:r>
        <w:rPr>
          <w:rFonts w:hint="eastAsia" w:ascii="仿宋_GB2312" w:hAnsi="仿宋" w:eastAsia="仿宋_GB2312" w:cs="仿宋"/>
          <w:spacing w:val="-2"/>
          <w:position w:val="-2"/>
          <w:sz w:val="32"/>
          <w:szCs w:val="32"/>
          <w:u w:val="none"/>
        </w:rPr>
        <w:t>羊皮原纸产量6578吨；半成品产量6106吨，成品纸产品5710吨，实现产值9600万元。</w:t>
      </w:r>
      <w:r>
        <w:rPr>
          <w:rFonts w:hint="eastAsia" w:ascii="仿宋_GB2312" w:hAnsi="仿宋" w:eastAsia="仿宋_GB2312" w:cs="仿宋"/>
          <w:spacing w:val="-2"/>
          <w:position w:val="-2"/>
          <w:sz w:val="32"/>
          <w:szCs w:val="32"/>
        </w:rPr>
        <w:t>从根本上</w:t>
      </w:r>
      <w:r>
        <w:rPr>
          <w:rFonts w:hint="eastAsia" w:ascii="仿宋_GB2312" w:hAnsi="仿宋" w:eastAsia="仿宋_GB2312"/>
          <w:spacing w:val="-2"/>
          <w:position w:val="-2"/>
          <w:sz w:val="32"/>
          <w:szCs w:val="32"/>
        </w:rPr>
        <w:t>解决了</w:t>
      </w:r>
      <w:r>
        <w:rPr>
          <w:rFonts w:hint="eastAsia" w:ascii="仿宋_GB2312" w:hAnsi="宋体" w:eastAsia="仿宋_GB2312" w:cs="宋体"/>
          <w:bCs/>
          <w:spacing w:val="-2"/>
          <w:position w:val="-2"/>
          <w:sz w:val="32"/>
          <w:szCs w:val="32"/>
        </w:rPr>
        <w:t>长期受制于外加工的问题。</w:t>
      </w:r>
      <w:r>
        <w:rPr>
          <w:rFonts w:hint="eastAsia" w:ascii="仿宋_GB2312" w:hAnsi="仿宋" w:eastAsia="仿宋_GB2312"/>
          <w:spacing w:val="-2"/>
          <w:position w:val="-2"/>
          <w:sz w:val="32"/>
          <w:szCs w:val="32"/>
        </w:rPr>
        <w:t>同时，</w:t>
      </w:r>
      <w:r>
        <w:rPr>
          <w:rFonts w:hint="eastAsia" w:ascii="仿宋_GB2312" w:hAnsi="仿宋" w:eastAsia="仿宋_GB2312" w:cs="仿宋"/>
          <w:spacing w:val="-2"/>
          <w:position w:val="-2"/>
          <w:sz w:val="32"/>
          <w:szCs w:val="32"/>
        </w:rPr>
        <w:t>为了抢占国内外市场，企业还</w:t>
      </w:r>
      <w:r>
        <w:rPr>
          <w:rFonts w:hint="eastAsia" w:ascii="仿宋_GB2312" w:hAnsi="仿宋" w:eastAsia="仿宋_GB2312"/>
          <w:spacing w:val="-2"/>
          <w:position w:val="-2"/>
          <w:sz w:val="32"/>
          <w:szCs w:val="32"/>
        </w:rPr>
        <w:t>制定了以出版社为主的市场战略定位，先后与中国医药出版社、内蒙教育出版集团、天津出版传媒集团、上海出版印刷集团、天津百花出版社等国内多家知名出版社签约供货，</w:t>
      </w:r>
      <w:r>
        <w:rPr>
          <w:rFonts w:hint="eastAsia" w:ascii="仿宋_GB2312" w:hAnsi="仿宋" w:eastAsia="仿宋_GB2312"/>
          <w:spacing w:val="-2"/>
          <w:position w:val="-2"/>
          <w:sz w:val="32"/>
          <w:szCs w:val="32"/>
          <w:u w:val="none"/>
          <w:lang w:val="en-US" w:eastAsia="zh-CN"/>
        </w:rPr>
        <w:t>截至目前</w:t>
      </w:r>
      <w:r>
        <w:rPr>
          <w:rFonts w:hint="eastAsia" w:ascii="仿宋_GB2312" w:hAnsi="仿宋" w:eastAsia="仿宋_GB2312"/>
          <w:spacing w:val="-2"/>
          <w:position w:val="-2"/>
          <w:sz w:val="32"/>
          <w:szCs w:val="32"/>
          <w:u w:val="none"/>
        </w:rPr>
        <w:t>销售收入</w:t>
      </w:r>
      <w:r>
        <w:rPr>
          <w:rFonts w:hint="eastAsia" w:ascii="仿宋_GB2312" w:hAnsi="仿宋" w:eastAsia="仿宋_GB2312"/>
          <w:spacing w:val="-2"/>
          <w:position w:val="-2"/>
          <w:sz w:val="32"/>
          <w:szCs w:val="32"/>
          <w:u w:val="none"/>
          <w:lang w:val="en-US" w:eastAsia="zh-CN"/>
        </w:rPr>
        <w:t>共完成</w:t>
      </w:r>
      <w:r>
        <w:rPr>
          <w:rFonts w:ascii="仿宋_GB2312" w:hAnsi="仿宋" w:eastAsia="仿宋_GB2312"/>
          <w:spacing w:val="-2"/>
          <w:position w:val="-2"/>
          <w:sz w:val="32"/>
          <w:szCs w:val="32"/>
          <w:u w:val="none"/>
        </w:rPr>
        <w:t>1.9</w:t>
      </w:r>
      <w:r>
        <w:rPr>
          <w:rFonts w:hint="eastAsia" w:ascii="仿宋_GB2312" w:hAnsi="仿宋" w:eastAsia="仿宋_GB2312"/>
          <w:spacing w:val="-2"/>
          <w:position w:val="-2"/>
          <w:sz w:val="32"/>
          <w:szCs w:val="32"/>
          <w:u w:val="none"/>
          <w:lang w:val="en-US" w:eastAsia="zh-CN"/>
        </w:rPr>
        <w:t>3</w:t>
      </w:r>
      <w:r>
        <w:rPr>
          <w:rFonts w:hint="eastAsia" w:ascii="仿宋_GB2312" w:hAnsi="仿宋" w:eastAsia="仿宋_GB2312"/>
          <w:spacing w:val="-2"/>
          <w:position w:val="-2"/>
          <w:sz w:val="32"/>
          <w:szCs w:val="32"/>
          <w:u w:val="none"/>
        </w:rPr>
        <w:t>亿，</w:t>
      </w:r>
      <w:r>
        <w:rPr>
          <w:rFonts w:hint="eastAsia" w:ascii="仿宋_GB2312" w:hAnsi="仿宋" w:eastAsia="仿宋_GB2312"/>
          <w:spacing w:val="-2"/>
          <w:position w:val="-2"/>
          <w:sz w:val="32"/>
          <w:szCs w:val="32"/>
        </w:rPr>
        <w:t>取得了自主生产经营后的良好开局，</w:t>
      </w:r>
      <w:r>
        <w:rPr>
          <w:rFonts w:hint="eastAsia" w:ascii="仿宋_GB2312" w:hAnsi="宋体" w:eastAsia="仿宋_GB2312" w:cs="宋体"/>
          <w:bCs/>
          <w:spacing w:val="-2"/>
          <w:position w:val="-2"/>
          <w:sz w:val="32"/>
          <w:szCs w:val="32"/>
        </w:rPr>
        <w:t>也为润易集团</w:t>
      </w:r>
      <w:r>
        <w:rPr>
          <w:rFonts w:hint="eastAsia" w:ascii="仿宋_GB2312" w:hAnsi="仿宋" w:eastAsia="仿宋_GB2312" w:cs="仿宋"/>
          <w:spacing w:val="-2"/>
          <w:position w:val="-2"/>
          <w:sz w:val="32"/>
          <w:szCs w:val="32"/>
        </w:rPr>
        <w:t>振兴发展造纸产业奠定了良好基础。</w:t>
      </w:r>
    </w:p>
    <w:p>
      <w:pPr>
        <w:spacing w:line="500" w:lineRule="exact"/>
        <w:ind w:firstLine="635" w:firstLineChars="200"/>
        <w:rPr>
          <w:rFonts w:hint="default" w:ascii="楷体_GB2312" w:hAnsi="宋体" w:eastAsia="楷体_GB2312"/>
          <w:b/>
          <w:spacing w:val="-2"/>
          <w:position w:val="-2"/>
          <w:sz w:val="32"/>
          <w:szCs w:val="32"/>
          <w:lang w:val="en-US" w:eastAsia="zh-CN"/>
        </w:rPr>
      </w:pPr>
      <w:r>
        <w:rPr>
          <w:rFonts w:hint="eastAsia" w:ascii="楷体_GB2312" w:hAnsi="宋体" w:eastAsia="楷体_GB2312"/>
          <w:b/>
          <w:spacing w:val="-2"/>
          <w:position w:val="-2"/>
          <w:sz w:val="32"/>
          <w:szCs w:val="32"/>
          <w:lang w:val="en-US" w:eastAsia="zh-CN"/>
        </w:rPr>
        <w:t>（四）重点项目实施情况</w:t>
      </w:r>
    </w:p>
    <w:p>
      <w:pPr>
        <w:keepNext w:val="0"/>
        <w:keepLines w:val="0"/>
        <w:pageBreakBefore w:val="0"/>
        <w:kinsoku/>
        <w:wordWrap/>
        <w:overflowPunct/>
        <w:topLinePunct w:val="0"/>
        <w:autoSpaceDE/>
        <w:autoSpaceDN/>
        <w:bidi w:val="0"/>
        <w:adjustRightInd/>
        <w:snapToGrid/>
        <w:spacing w:line="600" w:lineRule="exact"/>
        <w:ind w:firstLine="635" w:firstLineChars="200"/>
        <w:textAlignment w:val="auto"/>
        <w:rPr>
          <w:rFonts w:hint="eastAsia" w:ascii="仿宋_GB2312" w:hAnsi="仿宋" w:eastAsia="仿宋_GB2312" w:cs="仿宋"/>
          <w:spacing w:val="-3"/>
          <w:sz w:val="32"/>
          <w:szCs w:val="32"/>
          <w:lang w:val="en-US" w:eastAsia="zh-CN"/>
        </w:rPr>
      </w:pPr>
      <w:r>
        <w:rPr>
          <w:rFonts w:hint="eastAsia" w:ascii="仿宋_GB2312" w:hAnsi="楷体" w:eastAsia="仿宋_GB2312" w:cs="楷体"/>
          <w:b/>
          <w:bCs/>
          <w:spacing w:val="-2"/>
          <w:position w:val="-2"/>
          <w:sz w:val="32"/>
          <w:szCs w:val="32"/>
          <w:lang w:val="en-US" w:eastAsia="zh-CN"/>
        </w:rPr>
        <w:t>1、晨光、金至宗地</w:t>
      </w:r>
      <w:r>
        <w:rPr>
          <w:rFonts w:hint="eastAsia" w:ascii="仿宋_GB2312" w:hAnsi="楷体" w:eastAsia="仿宋_GB2312" w:cs="楷体"/>
          <w:b/>
          <w:bCs/>
          <w:spacing w:val="-2"/>
          <w:position w:val="-2"/>
          <w:sz w:val="32"/>
          <w:szCs w:val="32"/>
        </w:rPr>
        <w:t>项目情况。</w:t>
      </w:r>
      <w:r>
        <w:rPr>
          <w:rFonts w:hint="eastAsia" w:ascii="仿宋_GB2312" w:hAnsi="仿宋" w:eastAsia="仿宋_GB2312" w:cs="仿宋"/>
          <w:spacing w:val="-3"/>
          <w:sz w:val="32"/>
          <w:szCs w:val="32"/>
          <w:lang w:val="en-US" w:eastAsia="zh-CN"/>
        </w:rPr>
        <w:t>2016年初，润易集团结合市政府关于对《济南市济洛路片区控制性详细规划》、《济南市堤口路片区控制性详细规划》中对晨光公司宗地、金至公司宗地的规划情况，通过招商引资，与香港路劲地产集团全资子公司济南路劲隽成房地产开发有限公司（以下简称“路劲公司”）就合作开发晨光公司宗地、金至公司宗地项目达成共识。双方本着“优势互补、合作共赢”的原则，润易集团重点发挥权属企业土地资源优势，路劲公司则发挥其资金优势，先期为企业解决金融债务、土地查封、职工安置等问题提供资金支持。在市国资委的支持下，2016年1月22日，企业与路劲公司正式签署了《济南润易项目土地合作协议书》，同时，路劲公司先后以土地熟化资金方式投入5亿元资金，润易集团利用这些资金，重点解决了三大问题。一是有效破解了金融债务的长期困扰，解决了整个大易公司91.2%的金融债务，同时也解决了土地查封问题；二是积极支持欣易特种纸产业发展，购买欣易特种纸科研楼和购建齐河潘店镇特种纸生产基地项目，为重振特种纸产业发展打下坚实基础；三是最大限度地妥善做好职工安置，按政策对晨光、金至等公司1136名职工办理了一次性安置退出，为企业瘦身发展创造了良好条件。</w:t>
      </w:r>
    </w:p>
    <w:p>
      <w:pPr>
        <w:keepNext w:val="0"/>
        <w:keepLines w:val="0"/>
        <w:pageBreakBefore w:val="0"/>
        <w:kinsoku/>
        <w:wordWrap/>
        <w:overflowPunct/>
        <w:topLinePunct w:val="0"/>
        <w:autoSpaceDE/>
        <w:autoSpaceDN/>
        <w:bidi w:val="0"/>
        <w:adjustRightInd/>
        <w:snapToGrid/>
        <w:spacing w:line="600" w:lineRule="exact"/>
        <w:ind w:firstLine="635" w:firstLineChars="200"/>
        <w:textAlignment w:val="auto"/>
        <w:rPr>
          <w:rFonts w:ascii="仿宋_GB2312" w:hAnsi="仿宋" w:eastAsia="仿宋_GB2312" w:cs="仿宋"/>
          <w:spacing w:val="-3"/>
          <w:sz w:val="32"/>
          <w:szCs w:val="32"/>
        </w:rPr>
      </w:pPr>
      <w:r>
        <w:rPr>
          <w:rFonts w:hint="eastAsia" w:ascii="仿宋_GB2312" w:hAnsi="楷体" w:eastAsia="仿宋_GB2312" w:cs="楷体"/>
          <w:b/>
          <w:bCs/>
          <w:spacing w:val="-2"/>
          <w:position w:val="-2"/>
          <w:sz w:val="32"/>
          <w:szCs w:val="32"/>
          <w:lang w:val="en-US" w:eastAsia="zh-CN"/>
        </w:rPr>
        <w:t>2、</w:t>
      </w:r>
      <w:r>
        <w:rPr>
          <w:rFonts w:hint="eastAsia" w:ascii="仿宋_GB2312" w:hAnsi="楷体" w:eastAsia="仿宋_GB2312" w:cs="楷体"/>
          <w:b/>
          <w:bCs/>
          <w:spacing w:val="-2"/>
          <w:position w:val="-2"/>
          <w:sz w:val="32"/>
          <w:szCs w:val="32"/>
        </w:rPr>
        <w:t>品牌建设项目情况。</w:t>
      </w:r>
      <w:r>
        <w:rPr>
          <w:rFonts w:hint="eastAsia" w:ascii="仿宋_GB2312" w:hAnsi="仿宋" w:eastAsia="仿宋_GB2312" w:cs="仿宋"/>
          <w:spacing w:val="-3"/>
          <w:sz w:val="32"/>
          <w:szCs w:val="32"/>
          <w:lang w:val="en-US" w:eastAsia="zh-CN"/>
        </w:rPr>
        <w:t>集团所属</w:t>
      </w:r>
      <w:r>
        <w:rPr>
          <w:rFonts w:hint="eastAsia" w:ascii="仿宋_GB2312" w:hAnsi="仿宋" w:eastAsia="仿宋_GB2312" w:cs="仿宋"/>
          <w:spacing w:val="-3"/>
          <w:sz w:val="32"/>
          <w:szCs w:val="32"/>
        </w:rPr>
        <w:t>鲁丰公司始建于1908年，是一个有着百年历史的老企业</w:t>
      </w:r>
      <w:r>
        <w:rPr>
          <w:rFonts w:hint="eastAsia" w:ascii="仿宋_GB2312" w:hAnsi="仿宋" w:eastAsia="仿宋_GB2312" w:cs="仿宋"/>
          <w:spacing w:val="-3"/>
          <w:sz w:val="32"/>
          <w:szCs w:val="32"/>
          <w:lang w:eastAsia="zh-CN"/>
        </w:rPr>
        <w:t>，</w:t>
      </w:r>
      <w:r>
        <w:rPr>
          <w:rFonts w:hint="eastAsia" w:ascii="仿宋_GB2312" w:hAnsi="仿宋" w:eastAsia="仿宋_GB2312" w:cs="仿宋"/>
          <w:spacing w:val="-3"/>
          <w:sz w:val="32"/>
          <w:szCs w:val="32"/>
        </w:rPr>
        <w:t>为了用好“泉水”资源优势和企业历史文化，润易集团本着“突出特点、发挥优势、聚焦突破”的原则，提出打造鲁丰文旅产业园项目规划</w:t>
      </w:r>
      <w:r>
        <w:rPr>
          <w:rFonts w:hint="eastAsia" w:ascii="仿宋_GB2312" w:hAnsi="仿宋" w:eastAsia="仿宋_GB2312" w:cs="仿宋"/>
          <w:spacing w:val="-3"/>
          <w:sz w:val="32"/>
          <w:szCs w:val="32"/>
          <w:lang w:eastAsia="zh-CN"/>
        </w:rPr>
        <w:t>，</w:t>
      </w:r>
      <w:r>
        <w:rPr>
          <w:rFonts w:hint="eastAsia" w:ascii="仿宋_GB2312" w:hAnsi="仿宋" w:eastAsia="仿宋_GB2312" w:cs="仿宋"/>
          <w:spacing w:val="-3"/>
          <w:sz w:val="32"/>
          <w:szCs w:val="32"/>
        </w:rPr>
        <w:t>在天桥区政府及辖区制锦市办事处的大力支持帮助下，在“三个不变”（土地属性不变、产权主体不变、建筑结构不变）的基础上，围绕着企业地处周边旅游景点多的特点，本着“修旧如旧”的原则，重新划分经营业态，进行功能升级，提升营商环境，挖掘文化底蕴，形成与大明湖配套的“明湖周边”“一环一湖”的经营场所</w:t>
      </w:r>
      <w:r>
        <w:rPr>
          <w:rFonts w:hint="eastAsia" w:ascii="仿宋_GB2312" w:hAnsi="仿宋" w:eastAsia="仿宋_GB2312" w:cs="仿宋"/>
          <w:spacing w:val="-3"/>
          <w:sz w:val="32"/>
          <w:szCs w:val="32"/>
          <w:lang w:eastAsia="zh-CN"/>
        </w:rPr>
        <w:t>，</w:t>
      </w:r>
      <w:r>
        <w:rPr>
          <w:rFonts w:hint="eastAsia" w:ascii="仿宋_GB2312" w:hAnsi="仿宋" w:eastAsia="仿宋_GB2312" w:cs="仿宋"/>
          <w:spacing w:val="-3"/>
          <w:sz w:val="32"/>
          <w:szCs w:val="32"/>
          <w:lang w:val="en-US" w:eastAsia="zh-CN"/>
        </w:rPr>
        <w:t>打造</w:t>
      </w:r>
      <w:r>
        <w:rPr>
          <w:rFonts w:hint="eastAsia" w:ascii="仿宋_GB2312" w:hAnsi="仿宋" w:eastAsia="仿宋_GB2312" w:cs="仿宋"/>
          <w:spacing w:val="-3"/>
          <w:sz w:val="32"/>
          <w:szCs w:val="32"/>
        </w:rPr>
        <w:t>“鲁丰创意1908”文旅产业园项目。</w:t>
      </w:r>
      <w:r>
        <w:rPr>
          <w:rFonts w:hint="eastAsia" w:ascii="仿宋_GB2312" w:hAnsi="仿宋" w:eastAsia="仿宋_GB2312" w:cs="仿宋"/>
          <w:spacing w:val="-2"/>
          <w:position w:val="-2"/>
          <w:sz w:val="32"/>
          <w:szCs w:val="32"/>
        </w:rPr>
        <w:t>目前企业经营业态与周边旅游景区形成良好互动，给企业带来较好收益</w:t>
      </w:r>
      <w:r>
        <w:rPr>
          <w:rFonts w:hint="eastAsia" w:ascii="仿宋_GB2312" w:hAnsi="仿宋" w:eastAsia="仿宋_GB2312" w:cs="仿宋"/>
          <w:spacing w:val="-2"/>
          <w:position w:val="-2"/>
          <w:sz w:val="32"/>
          <w:szCs w:val="32"/>
          <w:u w:val="none"/>
        </w:rPr>
        <w:t>。</w:t>
      </w:r>
      <w:r>
        <w:rPr>
          <w:rFonts w:hint="eastAsia" w:ascii="仿宋_GB2312" w:hAnsi="仿宋" w:eastAsia="仿宋_GB2312"/>
          <w:spacing w:val="-2"/>
          <w:position w:val="-2"/>
          <w:sz w:val="32"/>
          <w:szCs w:val="32"/>
          <w:u w:val="none"/>
        </w:rPr>
        <w:t>20</w:t>
      </w:r>
      <w:r>
        <w:rPr>
          <w:rFonts w:hint="eastAsia" w:ascii="仿宋_GB2312" w:hAnsi="仿宋" w:eastAsia="仿宋_GB2312"/>
          <w:spacing w:val="-2"/>
          <w:position w:val="-2"/>
          <w:sz w:val="32"/>
          <w:szCs w:val="32"/>
          <w:u w:val="none"/>
          <w:lang w:val="en-US" w:eastAsia="zh-CN"/>
        </w:rPr>
        <w:t>20</w:t>
      </w:r>
      <w:r>
        <w:rPr>
          <w:rFonts w:hint="eastAsia" w:ascii="仿宋_GB2312" w:hAnsi="仿宋" w:eastAsia="仿宋_GB2312"/>
          <w:spacing w:val="-2"/>
          <w:position w:val="-2"/>
          <w:sz w:val="32"/>
          <w:szCs w:val="32"/>
          <w:u w:val="none"/>
        </w:rPr>
        <w:t>年鲁丰公司实现收入</w:t>
      </w:r>
      <w:r>
        <w:rPr>
          <w:rFonts w:ascii="仿宋_GB2312" w:hAnsi="仿宋" w:eastAsia="仿宋_GB2312"/>
          <w:spacing w:val="-2"/>
          <w:position w:val="-2"/>
          <w:sz w:val="32"/>
          <w:szCs w:val="32"/>
          <w:u w:val="none"/>
        </w:rPr>
        <w:t>3</w:t>
      </w:r>
      <w:r>
        <w:rPr>
          <w:rFonts w:hint="eastAsia" w:ascii="仿宋_GB2312" w:hAnsi="仿宋" w:eastAsia="仿宋_GB2312"/>
          <w:spacing w:val="-2"/>
          <w:position w:val="-2"/>
          <w:sz w:val="32"/>
          <w:szCs w:val="32"/>
          <w:u w:val="none"/>
          <w:lang w:val="en-US" w:eastAsia="zh-CN"/>
        </w:rPr>
        <w:t>213</w:t>
      </w:r>
      <w:r>
        <w:rPr>
          <w:rFonts w:hint="eastAsia" w:ascii="仿宋_GB2312" w:hAnsi="仿宋" w:eastAsia="仿宋_GB2312"/>
          <w:spacing w:val="-2"/>
          <w:position w:val="-2"/>
          <w:sz w:val="32"/>
          <w:szCs w:val="32"/>
          <w:u w:val="none"/>
        </w:rPr>
        <w:t>万元，</w:t>
      </w:r>
      <w:r>
        <w:rPr>
          <w:rFonts w:hint="eastAsia" w:ascii="仿宋_GB2312" w:hAnsi="仿宋" w:eastAsia="仿宋_GB2312"/>
          <w:spacing w:val="-2"/>
          <w:position w:val="-2"/>
          <w:sz w:val="32"/>
          <w:szCs w:val="32"/>
        </w:rPr>
        <w:t>取得了近几年来的最好收益。</w:t>
      </w:r>
    </w:p>
    <w:p>
      <w:pPr>
        <w:keepNext w:val="0"/>
        <w:keepLines w:val="0"/>
        <w:pageBreakBefore w:val="0"/>
        <w:kinsoku/>
        <w:wordWrap/>
        <w:overflowPunct/>
        <w:topLinePunct w:val="0"/>
        <w:autoSpaceDE/>
        <w:autoSpaceDN/>
        <w:bidi w:val="0"/>
        <w:adjustRightInd/>
        <w:snapToGrid/>
        <w:spacing w:line="600" w:lineRule="exact"/>
        <w:ind w:firstLine="631" w:firstLineChars="200"/>
        <w:jc w:val="both"/>
        <w:textAlignment w:val="auto"/>
        <w:rPr>
          <w:rFonts w:hint="eastAsia" w:ascii="仿宋_GB2312" w:hAnsi="仿宋" w:eastAsia="仿宋_GB2312" w:cs="仿宋"/>
          <w:spacing w:val="-2"/>
          <w:kern w:val="0"/>
          <w:position w:val="-2"/>
          <w:sz w:val="32"/>
          <w:szCs w:val="32"/>
        </w:rPr>
      </w:pPr>
      <w:r>
        <w:rPr>
          <w:rFonts w:hint="eastAsia" w:ascii="仿宋_GB2312" w:hAnsi="楷体" w:eastAsia="仿宋_GB2312" w:cs="楷体"/>
          <w:b/>
          <w:spacing w:val="-3"/>
          <w:sz w:val="32"/>
          <w:szCs w:val="32"/>
          <w:lang w:val="en-US" w:eastAsia="zh-CN"/>
        </w:rPr>
        <w:t>3、</w:t>
      </w:r>
      <w:r>
        <w:rPr>
          <w:rFonts w:hint="eastAsia" w:ascii="仿宋_GB2312" w:hAnsi="楷体" w:eastAsia="仿宋_GB2312" w:cs="楷体"/>
          <w:b/>
          <w:spacing w:val="-3"/>
          <w:sz w:val="32"/>
          <w:szCs w:val="32"/>
        </w:rPr>
        <w:t>物流产业项目情况。</w:t>
      </w:r>
      <w:r>
        <w:rPr>
          <w:rFonts w:hint="eastAsia" w:ascii="仿宋_GB2312" w:hAnsi="仿宋" w:eastAsia="仿宋_GB2312" w:cs="仿宋"/>
          <w:spacing w:val="-3"/>
          <w:sz w:val="32"/>
          <w:szCs w:val="32"/>
        </w:rPr>
        <w:t>“十三五”规划中，充分利用集团所属晨光空港公司位于高新区北区国际物流发展中心片区，处于济南市规划建设区域性航空货运集散地及快件处理</w:t>
      </w:r>
      <w:r>
        <w:rPr>
          <w:rFonts w:hint="eastAsia" w:ascii="仿宋_GB2312" w:hAnsi="方正仿宋简体" w:eastAsia="仿宋_GB2312" w:cs="方正仿宋简体"/>
          <w:spacing w:val="-2"/>
          <w:position w:val="-2"/>
          <w:sz w:val="32"/>
          <w:szCs w:val="32"/>
        </w:rPr>
        <w:t>功能定位区域，具有良好的产业基础等条件，在做了大量市场调研基础上，决定利用其区位优势，融合政府发展规划，</w:t>
      </w:r>
      <w:r>
        <w:rPr>
          <w:rFonts w:hint="eastAsia" w:ascii="仿宋_GB2312" w:hAnsi="仿宋" w:eastAsia="仿宋_GB2312" w:cs="黑体"/>
          <w:spacing w:val="-2"/>
          <w:kern w:val="0"/>
          <w:position w:val="-2"/>
          <w:sz w:val="32"/>
          <w:szCs w:val="32"/>
        </w:rPr>
        <w:t>在土地属性不变、产权主体不变的基础上，打造成</w:t>
      </w:r>
      <w:r>
        <w:rPr>
          <w:rFonts w:hint="eastAsia" w:ascii="仿宋_GB2312" w:hAnsi="仿宋" w:eastAsia="仿宋_GB2312" w:cs="仿宋"/>
          <w:spacing w:val="-2"/>
          <w:position w:val="-2"/>
          <w:sz w:val="32"/>
          <w:szCs w:val="32"/>
        </w:rPr>
        <w:t>冷链产业生态园区</w:t>
      </w:r>
      <w:r>
        <w:rPr>
          <w:rFonts w:hint="eastAsia" w:ascii="仿宋_GB2312" w:hAnsi="仿宋" w:eastAsia="仿宋_GB2312" w:cs="黑体"/>
          <w:spacing w:val="-2"/>
          <w:kern w:val="0"/>
          <w:position w:val="-2"/>
          <w:sz w:val="32"/>
          <w:szCs w:val="32"/>
        </w:rPr>
        <w:t>，形成与济南市高新区临港经济圈及中欧产业园区相适应的经济体，完成产业结构调整，实现企业转型升级发展。</w:t>
      </w:r>
      <w:r>
        <w:rPr>
          <w:rFonts w:hint="eastAsia" w:ascii="仿宋_GB2312" w:hAnsi="仿宋" w:eastAsia="仿宋_GB2312" w:cs="仿宋"/>
          <w:spacing w:val="-2"/>
          <w:position w:val="-2"/>
          <w:sz w:val="32"/>
          <w:szCs w:val="32"/>
        </w:rPr>
        <w:t>项目前期准备工作自</w:t>
      </w:r>
      <w:r>
        <w:rPr>
          <w:rFonts w:ascii="仿宋_GB2312" w:hAnsi="仿宋" w:eastAsia="仿宋_GB2312" w:cs="仿宋"/>
          <w:spacing w:val="-2"/>
          <w:position w:val="-2"/>
          <w:sz w:val="32"/>
          <w:szCs w:val="32"/>
        </w:rPr>
        <w:t>2019</w:t>
      </w:r>
      <w:r>
        <w:rPr>
          <w:rFonts w:hint="eastAsia" w:ascii="仿宋_GB2312" w:hAnsi="仿宋" w:eastAsia="仿宋_GB2312" w:cs="仿宋"/>
          <w:spacing w:val="-2"/>
          <w:position w:val="-2"/>
          <w:sz w:val="32"/>
          <w:szCs w:val="32"/>
        </w:rPr>
        <w:t>年四季度开始启动，2019年12月19日在山东省投资项目在线审批监管平台完成网上备案工作，取得《山东省建设项目备案证明》。2019年12月30日与济南高新技术开发区管理委员会签订《济南冷链产业生态园项目进区协议》。2020年1月16日取得济南高新技术开发区管理委员会发展改革部门出具的《济南冷链产业生态园项目招标方案核准意见》。</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rPr>
          <w:rFonts w:hint="eastAsia" w:ascii="仿宋_GB2312" w:hAnsi="仿宋" w:eastAsia="仿宋_GB2312" w:cs="仿宋"/>
          <w:color w:val="000000"/>
          <w:spacing w:val="-2"/>
          <w:kern w:val="0"/>
          <w:position w:val="-2"/>
          <w:sz w:val="32"/>
          <w:szCs w:val="32"/>
          <w:lang w:val="en-US" w:eastAsia="zh-CN" w:bidi="ar-SA"/>
        </w:rPr>
      </w:pPr>
      <w:r>
        <w:rPr>
          <w:rFonts w:hint="eastAsia" w:ascii="仿宋_GB2312" w:hAnsi="仿宋" w:eastAsia="仿宋_GB2312" w:cs="仿宋"/>
          <w:color w:val="000000"/>
          <w:spacing w:val="-2"/>
          <w:kern w:val="0"/>
          <w:position w:val="-2"/>
          <w:sz w:val="32"/>
          <w:szCs w:val="32"/>
          <w:lang w:val="en-US" w:eastAsia="zh-CN" w:bidi="ar-SA"/>
        </w:rPr>
        <w:t>润易集团从2016年1月正式运营到现在，已走过五年的里程。这五年来，可以说是一个艰难起步的阶段，从集团成立之初，就面对着大易公司这个烂摊子，问题复杂、下岗职工多、债务负担沉重，企业土地、房屋资源全部查封，企业经营只能依靠出租现存的厂房、设备来维持现有职工的生存。面对这种困局，润易集团党委敢于解放思想、直面困难，始终保持着清晰的工作思路，带领广大干部职工依靠自己的辛勤和汗水,以永不懈怠的精神状态和一往无前的奋斗姿态,扭转了这种被动局面，并取得了阶段性成果。</w:t>
      </w:r>
    </w:p>
    <w:p>
      <w:pPr>
        <w:keepNext w:val="0"/>
        <w:keepLines w:val="0"/>
        <w:pageBreakBefore w:val="0"/>
        <w:widowControl w:val="0"/>
        <w:kinsoku/>
        <w:wordWrap/>
        <w:overflowPunct/>
        <w:topLinePunct w:val="0"/>
        <w:autoSpaceDE/>
        <w:autoSpaceDN/>
        <w:bidi w:val="0"/>
        <w:adjustRightInd/>
        <w:snapToGrid/>
        <w:spacing w:line="600" w:lineRule="exact"/>
        <w:ind w:firstLine="632" w:firstLineChars="200"/>
        <w:textAlignment w:val="auto"/>
        <w:rPr>
          <w:rFonts w:hint="eastAsia" w:ascii="仿宋_GB2312" w:hAnsi="仿宋" w:eastAsia="仿宋_GB2312" w:cs="仿宋"/>
          <w:color w:val="000000"/>
          <w:spacing w:val="-2"/>
          <w:kern w:val="0"/>
          <w:position w:val="-2"/>
          <w:sz w:val="32"/>
          <w:szCs w:val="32"/>
          <w:lang w:val="en-US" w:eastAsia="zh-CN" w:bidi="ar-SA"/>
        </w:rPr>
      </w:pPr>
      <w:r>
        <w:rPr>
          <w:rFonts w:hint="eastAsia" w:ascii="仿宋_GB2312" w:hAnsi="仿宋" w:eastAsia="仿宋_GB2312" w:cs="仿宋"/>
          <w:color w:val="000000"/>
          <w:spacing w:val="-2"/>
          <w:kern w:val="0"/>
          <w:position w:val="-2"/>
          <w:sz w:val="32"/>
          <w:szCs w:val="32"/>
          <w:lang w:val="en-US" w:eastAsia="zh-CN" w:bidi="ar-SA"/>
        </w:rPr>
        <w:t>回顾总结五年来的工作取得了一定的成绩，但是我们也清醒地看到还存在着不少困难和压力，特别是企业改革发展的任务仍然十分艰巨。为此，在今后的工作中，我们要在市国资委的正确领导下，坚持改革不停顿,发展不止步，做到以改革求突破，让企业发展的步伐更加坚实。我们坚信，只要我们不忘初心、牢记使命,真抓实干、埋头苦干,有市委、市政府的正确领导，有市国资委的关心支持，有我们全体党员干部职工的不懈努力，就一定能够战胜各种困难，实现润易集团的振兴发展，为济南市的工业经济发展做出更大的贡献。</w:t>
      </w:r>
    </w:p>
    <w:p>
      <w:pPr>
        <w:rPr>
          <w:rFonts w:hint="eastAsia"/>
          <w:lang w:val="en-US" w:eastAsia="zh-CN"/>
        </w:rPr>
      </w:pPr>
    </w:p>
    <w:p>
      <w:pPr>
        <w:pStyle w:val="7"/>
        <w:shd w:val="clear" w:color="auto" w:fill="FFFFFF"/>
        <w:spacing w:before="0" w:beforeAutospacing="0" w:after="0" w:afterAutospacing="0" w:line="240" w:lineRule="auto"/>
        <w:ind w:firstLine="632" w:firstLineChars="200"/>
        <w:rPr>
          <w:rFonts w:ascii="黑体" w:hAnsi="黑体" w:eastAsia="黑体" w:cs="黑体"/>
          <w:color w:val="000000"/>
          <w:spacing w:val="-2"/>
          <w:position w:val="-2"/>
          <w:sz w:val="32"/>
          <w:szCs w:val="32"/>
        </w:rPr>
      </w:pPr>
      <w:r>
        <w:rPr>
          <w:rFonts w:hint="eastAsia" w:ascii="黑体" w:hAnsi="黑体" w:eastAsia="黑体" w:cs="黑体"/>
          <w:color w:val="000000"/>
          <w:spacing w:val="-2"/>
          <w:position w:val="-2"/>
          <w:sz w:val="32"/>
          <w:szCs w:val="32"/>
        </w:rPr>
        <w:t>二、“十四五”规划主要内容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_GB2312" w:hAnsi="仿宋" w:eastAsia="仿宋_GB2312"/>
          <w:color w:val="000000" w:themeColor="text1"/>
          <w:sz w:val="32"/>
          <w:szCs w:val="32"/>
          <w14:textFill>
            <w14:solidFill>
              <w14:schemeClr w14:val="tx1"/>
            </w14:solidFill>
          </w14:textFill>
        </w:rPr>
      </w:pPr>
      <w:r>
        <w:rPr>
          <w:rFonts w:hint="eastAsia" w:ascii="仿宋" w:hAnsi="仿宋" w:eastAsia="仿宋"/>
          <w:color w:val="000000" w:themeColor="text1"/>
          <w:sz w:val="32"/>
          <w:szCs w:val="32"/>
          <w14:textFill>
            <w14:solidFill>
              <w14:schemeClr w14:val="tx1"/>
            </w14:solidFill>
          </w14:textFill>
        </w:rPr>
        <w:t>“</w:t>
      </w:r>
      <w:r>
        <w:rPr>
          <w:rFonts w:hint="eastAsia" w:ascii="仿宋_GB2312" w:hAnsi="仿宋" w:eastAsia="仿宋_GB2312"/>
          <w:color w:val="000000" w:themeColor="text1"/>
          <w:sz w:val="32"/>
          <w:szCs w:val="32"/>
          <w14:textFill>
            <w14:solidFill>
              <w14:schemeClr w14:val="tx1"/>
            </w14:solidFill>
          </w14:textFill>
        </w:rPr>
        <w:t>十四五”时期是我国由全面建成小康社会向基本实现社会主义现代化迈进的关键时期，也是国有企业深化内部改革，加快新旧动能转换，促进高质量发展的战略机遇期</w:t>
      </w:r>
      <w:r>
        <w:rPr>
          <w:rFonts w:hint="eastAsia" w:ascii="仿宋_GB2312" w:hAnsi="仿宋" w:eastAsia="仿宋_GB2312"/>
          <w:color w:val="000000" w:themeColor="text1"/>
          <w:sz w:val="32"/>
          <w:szCs w:val="32"/>
          <w:lang w:eastAsia="zh-CN"/>
          <w14:textFill>
            <w14:solidFill>
              <w14:schemeClr w14:val="tx1"/>
            </w14:solidFill>
          </w14:textFill>
        </w:rPr>
        <w:t>，</w:t>
      </w:r>
      <w:r>
        <w:rPr>
          <w:rFonts w:hint="eastAsia" w:ascii="仿宋_GB2312" w:hAnsi="仿宋" w:eastAsia="仿宋_GB2312"/>
          <w:color w:val="000000" w:themeColor="text1"/>
          <w:sz w:val="32"/>
          <w:szCs w:val="32"/>
          <w14:textFill>
            <w14:solidFill>
              <w14:schemeClr w14:val="tx1"/>
            </w14:solidFill>
          </w14:textFill>
        </w:rPr>
        <w:t>在规划定位、规划目标及可行性上更加科学化、系统化，做好“十四五”企业发展重大问题研究，编制实施好规划，关系重大，意义深远。</w:t>
      </w:r>
    </w:p>
    <w:p>
      <w:pPr>
        <w:spacing w:line="520" w:lineRule="exact"/>
        <w:ind w:firstLine="675" w:firstLineChars="200"/>
        <w:rPr>
          <w:rFonts w:ascii="楷体" w:hAnsi="楷体" w:eastAsia="楷体" w:cs="仿宋"/>
          <w:b/>
          <w:spacing w:val="8"/>
          <w:sz w:val="32"/>
          <w:szCs w:val="32"/>
          <w:shd w:val="clear" w:color="auto" w:fill="FFFFFF"/>
        </w:rPr>
      </w:pPr>
      <w:r>
        <w:rPr>
          <w:rFonts w:hint="eastAsia" w:ascii="楷体" w:hAnsi="楷体" w:eastAsia="楷体" w:cs="楷体"/>
          <w:b/>
          <w:spacing w:val="8"/>
          <w:sz w:val="32"/>
          <w:szCs w:val="32"/>
          <w:shd w:val="clear" w:color="auto" w:fill="FFFFFF"/>
        </w:rPr>
        <w:t>（一）企业现状与发展环境</w:t>
      </w:r>
    </w:p>
    <w:p>
      <w:pPr>
        <w:pStyle w:val="7"/>
        <w:shd w:val="clear" w:color="auto" w:fill="FFFFFF"/>
        <w:spacing w:before="0" w:beforeAutospacing="0" w:after="0" w:afterAutospacing="0" w:line="520" w:lineRule="exact"/>
        <w:ind w:firstLine="952" w:firstLineChars="300"/>
        <w:rPr>
          <w:rFonts w:ascii="仿宋_GB2312" w:hAnsi="仿宋" w:eastAsia="仿宋_GB2312" w:cs="仿宋"/>
          <w:b/>
          <w:color w:val="000000"/>
          <w:spacing w:val="-2"/>
          <w:position w:val="-2"/>
          <w:sz w:val="32"/>
          <w:szCs w:val="32"/>
        </w:rPr>
      </w:pPr>
      <w:r>
        <w:rPr>
          <w:rFonts w:hint="eastAsia" w:ascii="仿宋_GB2312" w:hAnsi="仿宋" w:eastAsia="仿宋_GB2312" w:cs="仿宋"/>
          <w:b/>
          <w:color w:val="000000"/>
          <w:spacing w:val="-2"/>
          <w:position w:val="-2"/>
          <w:sz w:val="32"/>
          <w:szCs w:val="32"/>
        </w:rPr>
        <w:t>1、基本情况</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32" w:firstLineChars="200"/>
        <w:jc w:val="both"/>
        <w:textAlignment w:val="auto"/>
        <w:rPr>
          <w:rFonts w:hint="eastAsia" w:ascii="仿宋_GB2312" w:hAnsi="仿宋" w:eastAsia="仿宋_GB2312" w:cs="仿宋"/>
          <w:color w:val="000000"/>
          <w:spacing w:val="-2"/>
          <w:position w:val="-2"/>
          <w:sz w:val="32"/>
          <w:szCs w:val="32"/>
          <w:lang w:val="en-US" w:eastAsia="zh-CN"/>
        </w:rPr>
      </w:pPr>
      <w:r>
        <w:rPr>
          <w:rFonts w:hint="eastAsia" w:ascii="仿宋_GB2312" w:hAnsi="仿宋" w:eastAsia="仿宋_GB2312" w:cs="仿宋"/>
          <w:color w:val="000000"/>
          <w:spacing w:val="-2"/>
          <w:position w:val="-2"/>
          <w:sz w:val="32"/>
          <w:szCs w:val="32"/>
        </w:rPr>
        <w:t>（1）</w:t>
      </w:r>
      <w:r>
        <w:rPr>
          <w:rFonts w:hint="eastAsia" w:ascii="仿宋_GB2312" w:hAnsi="仿宋" w:eastAsia="仿宋_GB2312" w:cs="仿宋"/>
          <w:color w:val="000000"/>
          <w:spacing w:val="-2"/>
          <w:position w:val="-2"/>
          <w:sz w:val="32"/>
          <w:szCs w:val="32"/>
          <w:lang w:val="en-US" w:eastAsia="zh-CN"/>
        </w:rPr>
        <w:t>概况。</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32" w:firstLineChars="200"/>
        <w:jc w:val="both"/>
        <w:textAlignment w:val="auto"/>
        <w:rPr>
          <w:rFonts w:hint="eastAsia" w:ascii="仿宋_GB2312" w:hAnsi="仿宋" w:eastAsia="仿宋_GB2312" w:cs="仿宋"/>
          <w:color w:val="000000"/>
          <w:spacing w:val="-2"/>
          <w:position w:val="-2"/>
          <w:sz w:val="32"/>
          <w:szCs w:val="32"/>
        </w:rPr>
      </w:pPr>
      <w:r>
        <w:rPr>
          <w:rFonts w:hint="eastAsia" w:ascii="仿宋_GB2312" w:hAnsi="仿宋" w:eastAsia="仿宋_GB2312" w:cs="仿宋"/>
          <w:color w:val="000000"/>
          <w:spacing w:val="-2"/>
          <w:position w:val="-2"/>
          <w:sz w:val="32"/>
          <w:szCs w:val="32"/>
        </w:rPr>
        <w:t>润易集团前身是以大易公司作为相关企业的管理主体开展工作。大易公司是1993年1月经山东省外经贸委批准成立的合资企业，中方是济南市造纸工业公司所属五个国有造纸厂（原山东造纸总厂东厂、山东造纸总厂西厂、山东济南高级薄页纸厂、济南造纸厂和尚未竣工的济南纸浆厂），外方是香港喜多来（中国）有限公司。总投资人民币25458万元（按当时汇率折合4551万美元），按合同规定，中方以企业净资产出资（不含土地），折合人民币10183.2万元，占注册资本的40%，外方以现汇和设备投资，折合人民币15274.8万元，占注册资本的60%。在合资期间，由于资金、管理等诸多原因，致使企业资金短缺，连年亏损，到1998年整个大易公司处于停产半停产状态，生产经营难以为继，债务负担沉</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jc w:val="both"/>
        <w:textAlignment w:val="auto"/>
        <w:rPr>
          <w:rFonts w:hint="default" w:ascii="仿宋_GB2312" w:hAnsi="仿宋" w:eastAsia="仿宋_GB2312" w:cs="仿宋"/>
          <w:color w:val="000000"/>
          <w:spacing w:val="-2"/>
          <w:position w:val="-2"/>
          <w:sz w:val="32"/>
          <w:szCs w:val="32"/>
          <w:lang w:val="en-US" w:eastAsia="zh-CN"/>
        </w:rPr>
      </w:pPr>
      <w:r>
        <w:rPr>
          <w:rFonts w:hint="eastAsia" w:ascii="仿宋_GB2312" w:hAnsi="仿宋" w:eastAsia="仿宋_GB2312" w:cs="仿宋"/>
          <w:color w:val="000000"/>
          <w:spacing w:val="-2"/>
          <w:position w:val="-2"/>
          <w:sz w:val="32"/>
          <w:szCs w:val="32"/>
          <w:lang w:val="en-US" w:eastAsia="zh-CN"/>
        </w:rPr>
        <w:t>重，大部分职工下岗，并开始拖欠工资，职工思想情绪不稳</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jc w:val="both"/>
        <w:textAlignment w:val="auto"/>
        <w:rPr>
          <w:rFonts w:hint="eastAsia" w:ascii="仿宋_GB2312" w:hAnsi="仿宋" w:eastAsia="仿宋_GB2312" w:cs="仿宋"/>
          <w:color w:val="000000"/>
          <w:spacing w:val="-2"/>
          <w:position w:val="-2"/>
          <w:sz w:val="32"/>
          <w:szCs w:val="32"/>
        </w:rPr>
      </w:pPr>
      <w:r>
        <w:rPr>
          <w:rFonts w:hint="eastAsia" w:ascii="仿宋_GB2312" w:hAnsi="仿宋" w:eastAsia="仿宋_GB2312" w:cs="仿宋"/>
          <w:color w:val="000000"/>
          <w:spacing w:val="-2"/>
          <w:position w:val="-2"/>
          <w:sz w:val="32"/>
          <w:szCs w:val="32"/>
        </w:rPr>
        <w:t>定，整个合资企业陷入十分困难的境地。</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32" w:firstLineChars="200"/>
        <w:jc w:val="both"/>
        <w:textAlignment w:val="auto"/>
        <w:rPr>
          <w:rFonts w:hint="eastAsia" w:ascii="仿宋_GB2312" w:hAnsi="仿宋" w:eastAsia="仿宋_GB2312" w:cs="仿宋"/>
          <w:color w:val="000000"/>
          <w:spacing w:val="-2"/>
          <w:position w:val="-2"/>
          <w:sz w:val="32"/>
          <w:szCs w:val="32"/>
        </w:rPr>
      </w:pPr>
      <w:r>
        <w:rPr>
          <w:rFonts w:hint="eastAsia" w:ascii="仿宋_GB2312" w:hAnsi="仿宋" w:eastAsia="仿宋_GB2312" w:cs="仿宋"/>
          <w:color w:val="000000"/>
          <w:spacing w:val="-2"/>
          <w:position w:val="-2"/>
          <w:sz w:val="32"/>
          <w:szCs w:val="32"/>
        </w:rPr>
        <w:t>1999年9月，根据市委、市政府重新确定的思路，采取“分兵突围”的办法，分别成立了济南鲁丰纸业有限公司（以下简称“鲁丰公司”）、济南晨光纸业有限公司（以下简称“晨光公司”）、济南银星纸业有限公司（以下简称“银星公司”）、济南金至纸业有限公司（以下简称“金至公司”）等四个国有控股公司，带领职工进行生存自救，维持企业稳定。四个公司成立后，因受大易合资遗留问题影响，导致企业仍然难以正常经营。</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32" w:firstLineChars="200"/>
        <w:jc w:val="both"/>
        <w:textAlignment w:val="auto"/>
        <w:rPr>
          <w:rFonts w:hint="eastAsia" w:ascii="仿宋_GB2312" w:hAnsi="仿宋" w:eastAsia="仿宋_GB2312" w:cs="仿宋"/>
          <w:color w:val="000000"/>
          <w:spacing w:val="-2"/>
          <w:position w:val="-2"/>
          <w:sz w:val="32"/>
          <w:szCs w:val="32"/>
        </w:rPr>
      </w:pPr>
      <w:r>
        <w:rPr>
          <w:rFonts w:hint="eastAsia" w:ascii="仿宋_GB2312" w:hAnsi="仿宋" w:eastAsia="仿宋_GB2312" w:cs="仿宋"/>
          <w:color w:val="000000"/>
          <w:spacing w:val="-2"/>
          <w:position w:val="-2"/>
          <w:sz w:val="32"/>
          <w:szCs w:val="32"/>
        </w:rPr>
        <w:t>2013年10月，市委、市政府开展了市属44户国有困难企业帮扶解困和改革发展工作。在市委、市政府关心支持下，在市国资委帮助下，解决了困扰企业近二十年的合资纠纷问题，使大易公司由合资企业变更为国有独资企业。回归国有后，大易公司为了推进企业改革改制，决定首先解决鲁丰、晨光、银星、金至等四个国有控股公司的职工股回购问题，并于2014年3月向市国资委呈报了《关于大易公司收购鲁丰公司等四户企业职工股的请示方案》，同年8月，市国资委做出同意大易公司收购鲁丰等四户企业职工股权方案的批复（济国资企改【2014】26号），根据市国资委批复，大易公司按照收购价格为1.4元每1元原始出资的方案，收购鲁丰公司等四户企业职工股权合计金额999.39万元（原始出资为713.85万元）。</w:t>
      </w:r>
    </w:p>
    <w:p>
      <w:pPr>
        <w:pStyle w:val="7"/>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600" w:lineRule="exact"/>
        <w:ind w:firstLine="632" w:firstLineChars="200"/>
        <w:jc w:val="both"/>
        <w:textAlignment w:val="auto"/>
        <w:rPr>
          <w:rFonts w:hint="eastAsia" w:ascii="仿宋_GB2312" w:hAnsi="仿宋" w:eastAsia="仿宋_GB2312" w:cs="仿宋"/>
          <w:color w:val="000000"/>
          <w:spacing w:val="-2"/>
          <w:position w:val="-2"/>
          <w:sz w:val="32"/>
          <w:szCs w:val="32"/>
        </w:rPr>
      </w:pPr>
      <w:r>
        <w:rPr>
          <w:rFonts w:hint="eastAsia" w:ascii="仿宋_GB2312" w:hAnsi="仿宋" w:eastAsia="仿宋_GB2312" w:cs="仿宋"/>
          <w:color w:val="000000"/>
          <w:spacing w:val="-2"/>
          <w:position w:val="-2"/>
          <w:sz w:val="32"/>
          <w:szCs w:val="32"/>
        </w:rPr>
        <w:t>由于大易公司历史遗留问题诸多，特别是高额的金融债务、人员包袱及职工各种内债负担等致使大易公司不堪重负，无法进行实质性的改革发展。2015年5月初，市国资委党委针对企业实际情况，对大易公司主要领导进行了调整，同年11月，经市国资委批准，组建成立了润易集团，目的就是借助新集团作为相关企业管理和投资运营平台，以彻底解决大易遗留问题，为寻求企业改革发展实现新突破。</w:t>
      </w:r>
      <w:r>
        <w:rPr>
          <w:rFonts w:hint="eastAsia" w:ascii="仿宋_GB2312" w:hAnsi="仿宋" w:eastAsia="仿宋_GB2312"/>
          <w:spacing w:val="-2"/>
          <w:position w:val="-2"/>
          <w:sz w:val="32"/>
          <w:szCs w:val="32"/>
        </w:rPr>
        <w:t>（注：银星公司因华山片区改造被征地占用，自2015年10月后停业）</w:t>
      </w:r>
    </w:p>
    <w:p>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600" w:lineRule="exact"/>
        <w:ind w:firstLine="632" w:firstLineChars="200"/>
        <w:jc w:val="both"/>
        <w:textAlignment w:val="auto"/>
        <w:rPr>
          <w:rFonts w:hint="eastAsia" w:ascii="仿宋_GB2312" w:hAnsi="仿宋" w:eastAsia="仿宋_GB2312" w:cs="仿宋"/>
          <w:spacing w:val="8"/>
          <w:sz w:val="32"/>
          <w:szCs w:val="32"/>
          <w:shd w:val="clear" w:color="auto" w:fill="FFFFFF"/>
          <w:lang w:eastAsia="zh-CN"/>
        </w:rPr>
      </w:pPr>
      <w:r>
        <w:rPr>
          <w:rFonts w:hint="eastAsia" w:ascii="仿宋_GB2312" w:hAnsi="仿宋" w:eastAsia="仿宋_GB2312" w:cs="仿宋"/>
          <w:color w:val="000000"/>
          <w:spacing w:val="-2"/>
          <w:position w:val="-2"/>
          <w:sz w:val="32"/>
          <w:szCs w:val="32"/>
        </w:rPr>
        <w:t>润易集团是经市国资委批准（济国资企改字[2015]10号），于2015年11月13日注册成立的国有独资公司，注册资本1亿元，2016年1月份正式运营。</w:t>
      </w:r>
      <w:r>
        <w:rPr>
          <w:rFonts w:hint="eastAsia" w:ascii="仿宋_GB2312" w:hAnsi="仿宋" w:eastAsia="仿宋_GB2312" w:cs="仿宋"/>
          <w:spacing w:val="8"/>
          <w:sz w:val="32"/>
          <w:szCs w:val="32"/>
          <w:shd w:val="clear" w:color="auto" w:fill="FFFFFF"/>
        </w:rPr>
        <w:t>按照上级统一部署，结合企业实际，确定了“搭建平台、整合资源、统筹规划、创新发展”的工作思路，坚持以思想观念变革为先导，主动把谋求企业发展与推进新旧动能转换有机融合起来，以做大做强造纸主业为目标，努力开拓主业，盘活存量资产，优化产业布局，确保国有资产保值增值。</w:t>
      </w:r>
    </w:p>
    <w:p>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600" w:lineRule="exact"/>
        <w:ind w:firstLine="672" w:firstLineChars="200"/>
        <w:jc w:val="both"/>
        <w:textAlignment w:val="auto"/>
        <w:rPr>
          <w:rFonts w:ascii="仿宋_GB2312" w:hAnsi="仿宋" w:eastAsia="仿宋_GB2312" w:cs="仿宋"/>
          <w:spacing w:val="8"/>
          <w:sz w:val="32"/>
          <w:szCs w:val="32"/>
          <w:shd w:val="clear" w:color="auto" w:fill="FFFFFF"/>
        </w:rPr>
      </w:pPr>
      <w:r>
        <w:rPr>
          <w:rFonts w:hint="eastAsia" w:ascii="仿宋_GB2312" w:hAnsi="仿宋" w:eastAsia="仿宋_GB2312" w:cs="仿宋"/>
          <w:spacing w:val="8"/>
          <w:sz w:val="32"/>
          <w:szCs w:val="32"/>
          <w:shd w:val="clear" w:color="auto" w:fill="FFFFFF"/>
          <w:lang w:eastAsia="zh-CN"/>
        </w:rPr>
        <w:t>（</w:t>
      </w:r>
      <w:r>
        <w:rPr>
          <w:rFonts w:hint="eastAsia" w:ascii="仿宋_GB2312" w:hAnsi="仿宋" w:eastAsia="仿宋_GB2312" w:cs="仿宋"/>
          <w:spacing w:val="8"/>
          <w:sz w:val="32"/>
          <w:szCs w:val="32"/>
          <w:shd w:val="clear" w:color="auto" w:fill="FFFFFF"/>
          <w:lang w:val="en-US" w:eastAsia="zh-CN"/>
        </w:rPr>
        <w:t>2</w:t>
      </w:r>
      <w:r>
        <w:rPr>
          <w:rFonts w:hint="eastAsia" w:ascii="仿宋_GB2312" w:hAnsi="仿宋" w:eastAsia="仿宋_GB2312" w:cs="仿宋"/>
          <w:spacing w:val="8"/>
          <w:sz w:val="32"/>
          <w:szCs w:val="32"/>
          <w:shd w:val="clear" w:color="auto" w:fill="FFFFFF"/>
          <w:lang w:eastAsia="zh-CN"/>
        </w:rPr>
        <w:t>）</w:t>
      </w:r>
      <w:r>
        <w:rPr>
          <w:rFonts w:hint="eastAsia" w:ascii="仿宋_GB2312" w:hAnsi="仿宋" w:eastAsia="仿宋_GB2312" w:cs="仿宋"/>
          <w:spacing w:val="8"/>
          <w:sz w:val="32"/>
          <w:szCs w:val="32"/>
          <w:shd w:val="clear" w:color="auto" w:fill="FFFFFF"/>
        </w:rPr>
        <w:t>组织机构。</w:t>
      </w:r>
    </w:p>
    <w:p>
      <w:pPr>
        <w:keepNext w:val="0"/>
        <w:keepLines w:val="0"/>
        <w:pageBreakBefore w:val="0"/>
        <w:numPr>
          <w:ilvl w:val="0"/>
          <w:numId w:val="0"/>
        </w:numPr>
        <w:kinsoku/>
        <w:wordWrap/>
        <w:overflowPunct/>
        <w:topLinePunct w:val="0"/>
        <w:autoSpaceDE/>
        <w:autoSpaceDN/>
        <w:bidi w:val="0"/>
        <w:adjustRightInd/>
        <w:snapToGrid/>
        <w:spacing w:line="600" w:lineRule="exact"/>
        <w:ind w:firstLine="672" w:firstLineChars="200"/>
        <w:textAlignment w:val="auto"/>
        <w:rPr>
          <w:rFonts w:ascii="仿宋_GB2312" w:hAnsi="仿宋" w:eastAsia="仿宋_GB2312" w:cs="仿宋"/>
          <w:spacing w:val="8"/>
          <w:sz w:val="32"/>
          <w:szCs w:val="32"/>
          <w:shd w:val="clear" w:color="auto" w:fill="FFFFFF"/>
        </w:rPr>
      </w:pPr>
      <w:r>
        <w:rPr>
          <w:rFonts w:hint="eastAsia" w:ascii="仿宋_GB2312" w:hAnsi="仿宋" w:eastAsia="仿宋_GB2312" w:cs="仿宋"/>
          <w:spacing w:val="8"/>
          <w:sz w:val="32"/>
          <w:szCs w:val="32"/>
          <w:shd w:val="clear" w:color="auto" w:fill="FFFFFF"/>
        </w:rPr>
        <w:t>润易集团成立后，</w:t>
      </w:r>
      <w:r>
        <w:rPr>
          <w:rFonts w:hint="eastAsia" w:ascii="仿宋_GB2312" w:hAnsi="仿宋" w:eastAsia="仿宋_GB2312" w:cs="仿宋"/>
          <w:color w:val="000000"/>
          <w:spacing w:val="-2"/>
          <w:position w:val="-2"/>
          <w:sz w:val="32"/>
          <w:szCs w:val="32"/>
        </w:rPr>
        <w:t>根据市国资委《关于组建济南润易集团有限公司对相关企业调整整合有关事项的批复》（济国资企改[2015]10号）和国资委主任办公会会议纪要（[2015]第14次）的有关精神，</w:t>
      </w:r>
      <w:r>
        <w:rPr>
          <w:rFonts w:hint="eastAsia" w:ascii="仿宋_GB2312" w:hAnsi="仿宋" w:eastAsia="仿宋_GB2312" w:cs="仿宋"/>
          <w:spacing w:val="8"/>
          <w:sz w:val="32"/>
          <w:szCs w:val="32"/>
          <w:shd w:val="clear" w:color="auto" w:fill="FFFFFF"/>
        </w:rPr>
        <w:t>通过股权转让、股权划转等方式，目前，鲁丰公司、晨光公司、金至公司、济南欣易特种纸业有限公司（以下简称“欣易公司”）等4户企业划为润易集团全资子公司。其中：晨光公司下设2个子公司，即：济南晨光空港实业有限公司、济南晨安商贸有限公司。欣易公司下设1个子公司，即山东润诚特种纸业有限公司。另外，经市国资委批准将大易公司、济南纸浆厂等6户相关企业，由润易集团履行管理职责，承担国有资产保值增值责任。</w:t>
      </w:r>
    </w:p>
    <w:p>
      <w:pPr>
        <w:spacing w:line="400" w:lineRule="exact"/>
        <w:rPr>
          <w:rFonts w:ascii="仿宋" w:hAnsi="仿宋" w:eastAsia="仿宋" w:cs="仿宋"/>
          <w:spacing w:val="8"/>
          <w:sz w:val="32"/>
          <w:szCs w:val="32"/>
          <w:shd w:val="clear" w:color="auto" w:fill="FFFFFF"/>
        </w:rPr>
      </w:pPr>
    </w:p>
    <w:tbl>
      <w:tblPr>
        <w:tblStyle w:val="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417"/>
        <w:gridCol w:w="600"/>
        <w:gridCol w:w="345"/>
        <w:gridCol w:w="375"/>
        <w:gridCol w:w="2851"/>
        <w:gridCol w:w="330"/>
        <w:gridCol w:w="316"/>
        <w:gridCol w:w="28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tcBorders>
              <w:top w:val="nil"/>
            </w:tcBorders>
            <w:noWrap w:val="0"/>
            <w:vAlign w:val="center"/>
          </w:tcPr>
          <w:p>
            <w:pPr>
              <w:rPr>
                <w:rFonts w:hint="eastAsia" w:ascii="宋体" w:hAnsi="宋体" w:eastAsia="宋体" w:cs="宋体"/>
                <w:i w:val="0"/>
                <w:color w:val="auto"/>
                <w:sz w:val="24"/>
                <w:szCs w:val="24"/>
                <w:u w:val="none"/>
              </w:rPr>
            </w:pPr>
          </w:p>
        </w:tc>
        <w:tc>
          <w:tcPr>
            <w:tcW w:w="600" w:type="dxa"/>
            <w:tcBorders>
              <w:top w:val="nil"/>
            </w:tcBorders>
            <w:noWrap w:val="0"/>
            <w:vAlign w:val="center"/>
          </w:tcPr>
          <w:p>
            <w:pPr>
              <w:rPr>
                <w:rFonts w:hint="eastAsia" w:ascii="宋体" w:hAnsi="宋体" w:eastAsia="宋体" w:cs="宋体"/>
                <w:i w:val="0"/>
                <w:color w:val="auto"/>
                <w:sz w:val="24"/>
                <w:szCs w:val="24"/>
                <w:u w:val="none"/>
              </w:rPr>
            </w:pPr>
          </w:p>
        </w:tc>
        <w:tc>
          <w:tcPr>
            <w:tcW w:w="345" w:type="dxa"/>
            <w:tcBorders>
              <w:top w:val="nil"/>
              <w:right w:val="nil"/>
            </w:tcBorders>
            <w:noWrap w:val="0"/>
            <w:vAlign w:val="center"/>
          </w:tcPr>
          <w:p>
            <w:pPr>
              <w:rPr>
                <w:rFonts w:hint="eastAsia" w:ascii="宋体" w:hAnsi="宋体" w:eastAsia="宋体" w:cs="宋体"/>
                <w:i w:val="0"/>
                <w:color w:val="auto"/>
                <w:sz w:val="24"/>
                <w:szCs w:val="24"/>
                <w:u w:val="none"/>
              </w:rPr>
            </w:pPr>
          </w:p>
        </w:tc>
        <w:tc>
          <w:tcPr>
            <w:tcW w:w="375" w:type="dxa"/>
            <w:tcBorders>
              <w:top w:val="nil"/>
              <w:left w:val="nil"/>
              <w:right w:val="single" w:color="auto" w:sz="4" w:space="0"/>
            </w:tcBorders>
            <w:noWrap w:val="0"/>
            <w:vAlign w:val="center"/>
          </w:tcPr>
          <w:p>
            <w:pPr>
              <w:rPr>
                <w:rFonts w:hint="eastAsia" w:ascii="宋体" w:hAnsi="宋体" w:eastAsia="宋体" w:cs="宋体"/>
                <w:i w:val="0"/>
                <w:color w:val="auto"/>
                <w:sz w:val="24"/>
                <w:szCs w:val="24"/>
                <w:u w:val="none"/>
              </w:rPr>
            </w:pPr>
          </w:p>
        </w:tc>
        <w:tc>
          <w:tcPr>
            <w:tcW w:w="2851"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auto"/>
                <w:sz w:val="22"/>
                <w:szCs w:val="22"/>
                <w:u w:val="none"/>
              </w:rPr>
            </w:pPr>
            <w:r>
              <w:rPr>
                <w:rFonts w:hint="eastAsia" w:ascii="黑体" w:hAnsi="黑体" w:eastAsia="黑体" w:cs="黑体"/>
                <w:i w:val="0"/>
                <w:color w:val="auto"/>
                <w:kern w:val="0"/>
                <w:sz w:val="22"/>
                <w:szCs w:val="22"/>
                <w:u w:val="none"/>
                <w:lang w:val="en-US" w:eastAsia="zh-CN" w:bidi="ar"/>
              </w:rPr>
              <w:t>济南鲁丰纸业有限公司</w:t>
            </w:r>
          </w:p>
        </w:tc>
        <w:tc>
          <w:tcPr>
            <w:tcW w:w="330" w:type="dxa"/>
            <w:tcBorders>
              <w:top w:val="nil"/>
              <w:left w:val="single" w:color="auto" w:sz="4" w:space="0"/>
            </w:tcBorders>
            <w:noWrap w:val="0"/>
            <w:vAlign w:val="center"/>
          </w:tcPr>
          <w:p>
            <w:pPr>
              <w:rPr>
                <w:rFonts w:hint="eastAsia" w:ascii="宋体" w:hAnsi="宋体" w:eastAsia="宋体" w:cs="宋体"/>
                <w:i w:val="0"/>
                <w:color w:val="auto"/>
                <w:sz w:val="24"/>
                <w:szCs w:val="24"/>
                <w:u w:val="none"/>
              </w:rPr>
            </w:pPr>
          </w:p>
        </w:tc>
        <w:tc>
          <w:tcPr>
            <w:tcW w:w="316" w:type="dxa"/>
            <w:tcBorders>
              <w:top w:val="nil"/>
            </w:tcBorders>
            <w:noWrap w:val="0"/>
            <w:vAlign w:val="center"/>
          </w:tcPr>
          <w:p>
            <w:pPr>
              <w:rPr>
                <w:rFonts w:hint="eastAsia" w:ascii="宋体" w:hAnsi="宋体" w:eastAsia="宋体" w:cs="宋体"/>
                <w:i w:val="0"/>
                <w:color w:val="auto"/>
                <w:sz w:val="24"/>
                <w:szCs w:val="24"/>
                <w:u w:val="none"/>
              </w:rPr>
            </w:pPr>
          </w:p>
        </w:tc>
        <w:tc>
          <w:tcPr>
            <w:tcW w:w="2836" w:type="dxa"/>
            <w:tcBorders>
              <w:top w:val="nil"/>
            </w:tcBorders>
            <w:noWrap w:val="0"/>
            <w:vAlign w:val="center"/>
          </w:tcPr>
          <w:p>
            <w:pPr>
              <w:rPr>
                <w:rFonts w:hint="eastAsia" w:ascii="宋体" w:hAnsi="宋体" w:eastAsia="宋体" w:cs="宋体"/>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vMerge w:val="restart"/>
            <w:tcBorders>
              <w:top w:val="single" w:color="000000" w:sz="4" w:space="0"/>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color w:val="auto"/>
                <w:sz w:val="22"/>
                <w:szCs w:val="22"/>
                <w:u w:val="none"/>
              </w:rPr>
            </w:pPr>
            <w:r>
              <w:rPr>
                <w:rFonts w:hint="eastAsia" w:ascii="黑体" w:hAnsi="黑体" w:eastAsia="黑体" w:cs="黑体"/>
                <w:i w:val="0"/>
                <w:color w:val="auto"/>
                <w:kern w:val="0"/>
                <w:sz w:val="22"/>
                <w:szCs w:val="22"/>
                <w:u w:val="none"/>
                <w:lang w:val="en-US" w:eastAsia="zh-CN" w:bidi="ar"/>
              </w:rPr>
              <w:t>济南润易集团有限公司</w:t>
            </w:r>
          </w:p>
        </w:tc>
        <w:tc>
          <w:tcPr>
            <w:tcW w:w="345" w:type="dxa"/>
            <w:tcBorders>
              <w:right w:val="single" w:color="000000" w:sz="4" w:space="0"/>
            </w:tcBorders>
            <w:noWrap w:val="0"/>
            <w:vAlign w:val="center"/>
          </w:tcPr>
          <w:p>
            <w:pPr>
              <w:rPr>
                <w:rFonts w:hint="eastAsia" w:ascii="黑体" w:hAnsi="黑体" w:eastAsia="黑体" w:cs="黑体"/>
                <w:i w:val="0"/>
                <w:color w:val="auto"/>
                <w:sz w:val="24"/>
                <w:szCs w:val="24"/>
                <w:u w:val="none"/>
              </w:rPr>
            </w:pPr>
          </w:p>
        </w:tc>
        <w:tc>
          <w:tcPr>
            <w:tcW w:w="375" w:type="dxa"/>
            <w:tcBorders>
              <w:top w:val="single" w:color="000000" w:sz="4" w:space="0"/>
              <w:right w:val="single" w:color="auto" w:sz="4" w:space="0"/>
            </w:tcBorders>
            <w:noWrap w:val="0"/>
            <w:vAlign w:val="center"/>
          </w:tcPr>
          <w:p>
            <w:pPr>
              <w:rPr>
                <w:rFonts w:hint="eastAsia" w:ascii="黑体" w:hAnsi="黑体" w:eastAsia="黑体" w:cs="黑体"/>
                <w:i w:val="0"/>
                <w:color w:val="auto"/>
                <w:sz w:val="24"/>
                <w:szCs w:val="24"/>
                <w:u w:val="none"/>
              </w:rPr>
            </w:pPr>
          </w:p>
        </w:tc>
        <w:tc>
          <w:tcPr>
            <w:tcW w:w="2851" w:type="dxa"/>
            <w:vMerge w:val="continue"/>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黑体" w:hAnsi="黑体" w:eastAsia="黑体" w:cs="黑体"/>
                <w:i w:val="0"/>
                <w:color w:val="auto"/>
                <w:sz w:val="22"/>
                <w:szCs w:val="22"/>
                <w:u w:val="none"/>
              </w:rPr>
            </w:pPr>
          </w:p>
        </w:tc>
        <w:tc>
          <w:tcPr>
            <w:tcW w:w="330" w:type="dxa"/>
            <w:tcBorders>
              <w:left w:val="single" w:color="auto" w:sz="4" w:space="0"/>
            </w:tcBorders>
            <w:noWrap w:val="0"/>
            <w:vAlign w:val="center"/>
          </w:tcPr>
          <w:p>
            <w:pPr>
              <w:rPr>
                <w:rFonts w:hint="eastAsia" w:ascii="黑体" w:hAnsi="黑体" w:eastAsia="黑体" w:cs="黑体"/>
                <w:i w:val="0"/>
                <w:color w:val="auto"/>
                <w:sz w:val="24"/>
                <w:szCs w:val="24"/>
                <w:u w:val="none"/>
              </w:rPr>
            </w:pPr>
          </w:p>
        </w:tc>
        <w:tc>
          <w:tcPr>
            <w:tcW w:w="316" w:type="dxa"/>
            <w:noWrap w:val="0"/>
            <w:vAlign w:val="center"/>
          </w:tcPr>
          <w:p>
            <w:pPr>
              <w:rPr>
                <w:rFonts w:hint="eastAsia" w:ascii="黑体" w:hAnsi="黑体" w:eastAsia="黑体" w:cs="黑体"/>
                <w:i w:val="0"/>
                <w:color w:val="auto"/>
                <w:sz w:val="24"/>
                <w:szCs w:val="24"/>
                <w:u w:val="none"/>
              </w:rPr>
            </w:pPr>
          </w:p>
        </w:tc>
        <w:tc>
          <w:tcPr>
            <w:tcW w:w="283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color w:val="auto"/>
                <w:sz w:val="22"/>
                <w:szCs w:val="22"/>
                <w:u w:val="none"/>
              </w:rPr>
            </w:pPr>
            <w:r>
              <w:rPr>
                <w:rFonts w:hint="eastAsia" w:ascii="黑体" w:hAnsi="黑体" w:eastAsia="黑体" w:cs="黑体"/>
                <w:i w:val="0"/>
                <w:color w:val="auto"/>
                <w:kern w:val="0"/>
                <w:sz w:val="22"/>
                <w:szCs w:val="22"/>
                <w:u w:val="none"/>
                <w:lang w:val="en-US" w:eastAsia="zh-CN" w:bidi="ar"/>
              </w:rPr>
              <w:t>济南晨安商贸有限公司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vMerge w:val="continue"/>
            <w:tcBorders>
              <w:left w:val="single" w:color="000000" w:sz="4" w:space="0"/>
              <w:right w:val="single" w:color="000000" w:sz="4" w:space="0"/>
            </w:tcBorders>
            <w:noWrap w:val="0"/>
            <w:vAlign w:val="center"/>
          </w:tcPr>
          <w:p>
            <w:pPr>
              <w:jc w:val="center"/>
              <w:rPr>
                <w:rFonts w:hint="eastAsia" w:ascii="黑体" w:hAnsi="黑体" w:eastAsia="黑体" w:cs="黑体"/>
                <w:i w:val="0"/>
                <w:color w:val="auto"/>
                <w:sz w:val="22"/>
                <w:szCs w:val="22"/>
                <w:u w:val="none"/>
              </w:rPr>
            </w:pPr>
          </w:p>
        </w:tc>
        <w:tc>
          <w:tcPr>
            <w:tcW w:w="345" w:type="dxa"/>
            <w:tcBorders>
              <w:right w:val="single" w:color="000000" w:sz="4" w:space="0"/>
            </w:tcBorders>
            <w:noWrap w:val="0"/>
            <w:vAlign w:val="center"/>
          </w:tcPr>
          <w:p>
            <w:pPr>
              <w:rPr>
                <w:rFonts w:hint="eastAsia" w:ascii="黑体" w:hAnsi="黑体" w:eastAsia="黑体" w:cs="黑体"/>
                <w:i w:val="0"/>
                <w:color w:val="auto"/>
                <w:sz w:val="24"/>
                <w:szCs w:val="24"/>
                <w:u w:val="none"/>
              </w:rPr>
            </w:pPr>
          </w:p>
        </w:tc>
        <w:tc>
          <w:tcPr>
            <w:tcW w:w="375" w:type="dxa"/>
            <w:noWrap w:val="0"/>
            <w:vAlign w:val="center"/>
          </w:tcPr>
          <w:p>
            <w:pPr>
              <w:rPr>
                <w:rFonts w:hint="eastAsia" w:ascii="黑体" w:hAnsi="黑体" w:eastAsia="黑体" w:cs="黑体"/>
                <w:i w:val="0"/>
                <w:color w:val="auto"/>
                <w:sz w:val="24"/>
                <w:szCs w:val="24"/>
                <w:u w:val="none"/>
              </w:rPr>
            </w:pPr>
          </w:p>
        </w:tc>
        <w:tc>
          <w:tcPr>
            <w:tcW w:w="2851" w:type="dxa"/>
            <w:tcBorders>
              <w:top w:val="single" w:color="auto" w:sz="4" w:space="0"/>
            </w:tcBorders>
            <w:noWrap w:val="0"/>
            <w:vAlign w:val="center"/>
          </w:tcPr>
          <w:p>
            <w:pPr>
              <w:rPr>
                <w:rFonts w:hint="eastAsia" w:ascii="黑体" w:hAnsi="黑体" w:eastAsia="黑体" w:cs="黑体"/>
                <w:i w:val="0"/>
                <w:color w:val="auto"/>
                <w:sz w:val="24"/>
                <w:szCs w:val="24"/>
                <w:u w:val="none"/>
              </w:rPr>
            </w:pPr>
          </w:p>
        </w:tc>
        <w:tc>
          <w:tcPr>
            <w:tcW w:w="330" w:type="dxa"/>
            <w:noWrap w:val="0"/>
            <w:vAlign w:val="center"/>
          </w:tcPr>
          <w:p>
            <w:pPr>
              <w:rPr>
                <w:rFonts w:hint="eastAsia" w:ascii="黑体" w:hAnsi="黑体" w:eastAsia="黑体" w:cs="黑体"/>
                <w:i w:val="0"/>
                <w:color w:val="auto"/>
                <w:sz w:val="24"/>
                <w:szCs w:val="24"/>
                <w:u w:val="none"/>
              </w:rPr>
            </w:pPr>
          </w:p>
        </w:tc>
        <w:tc>
          <w:tcPr>
            <w:tcW w:w="316" w:type="dxa"/>
            <w:tcBorders>
              <w:top w:val="single" w:color="000000" w:sz="4" w:space="0"/>
              <w:left w:val="single" w:color="000000" w:sz="4" w:space="0"/>
            </w:tcBorders>
            <w:noWrap w:val="0"/>
            <w:vAlign w:val="center"/>
          </w:tcPr>
          <w:p>
            <w:pPr>
              <w:rPr>
                <w:rFonts w:hint="eastAsia" w:ascii="黑体" w:hAnsi="黑体" w:eastAsia="黑体" w:cs="黑体"/>
                <w:i w:val="0"/>
                <w:color w:val="auto"/>
                <w:sz w:val="24"/>
                <w:szCs w:val="24"/>
                <w:u w:val="none"/>
              </w:rPr>
            </w:pPr>
          </w:p>
        </w:tc>
        <w:tc>
          <w:tcPr>
            <w:tcW w:w="283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黑体" w:hAnsi="黑体" w:eastAsia="黑体" w:cs="黑体"/>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vMerge w:val="continue"/>
            <w:tcBorders>
              <w:left w:val="single" w:color="000000" w:sz="4" w:space="0"/>
              <w:right w:val="single" w:color="000000" w:sz="4" w:space="0"/>
            </w:tcBorders>
            <w:noWrap w:val="0"/>
            <w:vAlign w:val="center"/>
          </w:tcPr>
          <w:p>
            <w:pPr>
              <w:jc w:val="center"/>
              <w:rPr>
                <w:rFonts w:hint="eastAsia" w:ascii="黑体" w:hAnsi="黑体" w:eastAsia="黑体" w:cs="黑体"/>
                <w:i w:val="0"/>
                <w:color w:val="auto"/>
                <w:sz w:val="22"/>
                <w:szCs w:val="22"/>
                <w:u w:val="none"/>
              </w:rPr>
            </w:pPr>
          </w:p>
        </w:tc>
        <w:tc>
          <w:tcPr>
            <w:tcW w:w="345" w:type="dxa"/>
            <w:tcBorders>
              <w:bottom w:val="single" w:color="000000" w:sz="4" w:space="0"/>
              <w:right w:val="single" w:color="000000" w:sz="4" w:space="0"/>
            </w:tcBorders>
            <w:noWrap w:val="0"/>
            <w:vAlign w:val="center"/>
          </w:tcPr>
          <w:p>
            <w:pPr>
              <w:rPr>
                <w:rFonts w:hint="eastAsia" w:ascii="黑体" w:hAnsi="黑体" w:eastAsia="黑体" w:cs="黑体"/>
                <w:i w:val="0"/>
                <w:color w:val="auto"/>
                <w:sz w:val="24"/>
                <w:szCs w:val="24"/>
                <w:u w:val="none"/>
              </w:rPr>
            </w:pPr>
          </w:p>
        </w:tc>
        <w:tc>
          <w:tcPr>
            <w:tcW w:w="375" w:type="dxa"/>
            <w:noWrap w:val="0"/>
            <w:vAlign w:val="center"/>
          </w:tcPr>
          <w:p>
            <w:pPr>
              <w:rPr>
                <w:rFonts w:hint="eastAsia" w:ascii="黑体" w:hAnsi="黑体" w:eastAsia="黑体" w:cs="黑体"/>
                <w:i w:val="0"/>
                <w:color w:val="auto"/>
                <w:sz w:val="24"/>
                <w:szCs w:val="24"/>
                <w:u w:val="none"/>
              </w:rPr>
            </w:pPr>
          </w:p>
        </w:tc>
        <w:tc>
          <w:tcPr>
            <w:tcW w:w="285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color w:val="auto"/>
                <w:sz w:val="22"/>
                <w:szCs w:val="22"/>
                <w:u w:val="none"/>
              </w:rPr>
            </w:pPr>
            <w:r>
              <w:rPr>
                <w:rFonts w:hint="eastAsia" w:ascii="黑体" w:hAnsi="黑体" w:eastAsia="黑体" w:cs="黑体"/>
                <w:i w:val="0"/>
                <w:color w:val="auto"/>
                <w:kern w:val="0"/>
                <w:sz w:val="22"/>
                <w:szCs w:val="22"/>
                <w:u w:val="none"/>
                <w:lang w:val="en-US" w:eastAsia="zh-CN" w:bidi="ar"/>
              </w:rPr>
              <w:t>济南晨光纸业有限公司</w:t>
            </w:r>
          </w:p>
        </w:tc>
        <w:tc>
          <w:tcPr>
            <w:tcW w:w="330" w:type="dxa"/>
            <w:tcBorders>
              <w:bottom w:val="single" w:color="000000" w:sz="4" w:space="0"/>
            </w:tcBorders>
            <w:noWrap w:val="0"/>
            <w:vAlign w:val="center"/>
          </w:tcPr>
          <w:p>
            <w:pPr>
              <w:rPr>
                <w:rFonts w:hint="eastAsia" w:ascii="黑体" w:hAnsi="黑体" w:eastAsia="黑体" w:cs="黑体"/>
                <w:i w:val="0"/>
                <w:color w:val="auto"/>
                <w:sz w:val="24"/>
                <w:szCs w:val="24"/>
                <w:u w:val="none"/>
              </w:rPr>
            </w:pPr>
          </w:p>
        </w:tc>
        <w:tc>
          <w:tcPr>
            <w:tcW w:w="316" w:type="dxa"/>
            <w:tcBorders>
              <w:left w:val="single" w:color="000000" w:sz="4" w:space="0"/>
            </w:tcBorders>
            <w:noWrap w:val="0"/>
            <w:vAlign w:val="center"/>
          </w:tcPr>
          <w:p>
            <w:pPr>
              <w:rPr>
                <w:rFonts w:hint="eastAsia" w:ascii="黑体" w:hAnsi="黑体" w:eastAsia="黑体" w:cs="黑体"/>
                <w:i w:val="0"/>
                <w:color w:val="auto"/>
                <w:sz w:val="24"/>
                <w:szCs w:val="24"/>
                <w:u w:val="none"/>
              </w:rPr>
            </w:pPr>
          </w:p>
        </w:tc>
        <w:tc>
          <w:tcPr>
            <w:tcW w:w="2836" w:type="dxa"/>
            <w:noWrap w:val="0"/>
            <w:vAlign w:val="center"/>
          </w:tcPr>
          <w:p>
            <w:pPr>
              <w:rPr>
                <w:rFonts w:hint="eastAsia" w:ascii="黑体" w:hAnsi="黑体" w:eastAsia="黑体" w:cs="黑体"/>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vMerge w:val="continue"/>
            <w:tcBorders>
              <w:left w:val="single" w:color="000000" w:sz="4" w:space="0"/>
              <w:right w:val="single" w:color="000000" w:sz="4" w:space="0"/>
            </w:tcBorders>
            <w:noWrap w:val="0"/>
            <w:vAlign w:val="center"/>
          </w:tcPr>
          <w:p>
            <w:pPr>
              <w:jc w:val="center"/>
              <w:rPr>
                <w:rFonts w:hint="eastAsia" w:ascii="黑体" w:hAnsi="黑体" w:eastAsia="黑体" w:cs="黑体"/>
                <w:i w:val="0"/>
                <w:color w:val="auto"/>
                <w:sz w:val="22"/>
                <w:szCs w:val="22"/>
                <w:u w:val="none"/>
              </w:rPr>
            </w:pPr>
          </w:p>
        </w:tc>
        <w:tc>
          <w:tcPr>
            <w:tcW w:w="345" w:type="dxa"/>
            <w:tcBorders>
              <w:right w:val="single" w:color="000000" w:sz="4" w:space="0"/>
            </w:tcBorders>
            <w:noWrap w:val="0"/>
            <w:vAlign w:val="center"/>
          </w:tcPr>
          <w:p>
            <w:pPr>
              <w:rPr>
                <w:rFonts w:hint="eastAsia" w:ascii="黑体" w:hAnsi="黑体" w:eastAsia="黑体" w:cs="黑体"/>
                <w:i w:val="0"/>
                <w:color w:val="auto"/>
                <w:sz w:val="24"/>
                <w:szCs w:val="24"/>
                <w:u w:val="none"/>
              </w:rPr>
            </w:pPr>
          </w:p>
        </w:tc>
        <w:tc>
          <w:tcPr>
            <w:tcW w:w="375" w:type="dxa"/>
            <w:noWrap w:val="0"/>
            <w:vAlign w:val="center"/>
          </w:tcPr>
          <w:p>
            <w:pPr>
              <w:rPr>
                <w:rFonts w:hint="eastAsia" w:ascii="黑体" w:hAnsi="黑体" w:eastAsia="黑体" w:cs="黑体"/>
                <w:i w:val="0"/>
                <w:color w:val="auto"/>
                <w:sz w:val="24"/>
                <w:szCs w:val="24"/>
                <w:u w:val="none"/>
              </w:rPr>
            </w:pPr>
          </w:p>
        </w:tc>
        <w:tc>
          <w:tcPr>
            <w:tcW w:w="2851"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黑体" w:hAnsi="黑体" w:eastAsia="黑体" w:cs="黑体"/>
                <w:i w:val="0"/>
                <w:color w:val="auto"/>
                <w:sz w:val="22"/>
                <w:szCs w:val="22"/>
                <w:u w:val="none"/>
              </w:rPr>
            </w:pPr>
          </w:p>
        </w:tc>
        <w:tc>
          <w:tcPr>
            <w:tcW w:w="330" w:type="dxa"/>
            <w:noWrap w:val="0"/>
            <w:vAlign w:val="center"/>
          </w:tcPr>
          <w:p>
            <w:pPr>
              <w:rPr>
                <w:rFonts w:hint="eastAsia" w:ascii="黑体" w:hAnsi="黑体" w:eastAsia="黑体" w:cs="黑体"/>
                <w:i w:val="0"/>
                <w:color w:val="auto"/>
                <w:sz w:val="24"/>
                <w:szCs w:val="24"/>
                <w:u w:val="none"/>
              </w:rPr>
            </w:pPr>
          </w:p>
        </w:tc>
        <w:tc>
          <w:tcPr>
            <w:tcW w:w="316" w:type="dxa"/>
            <w:tcBorders>
              <w:left w:val="single" w:color="000000" w:sz="4" w:space="0"/>
            </w:tcBorders>
            <w:noWrap w:val="0"/>
            <w:vAlign w:val="center"/>
          </w:tcPr>
          <w:p>
            <w:pPr>
              <w:rPr>
                <w:rFonts w:hint="eastAsia" w:ascii="黑体" w:hAnsi="黑体" w:eastAsia="黑体" w:cs="黑体"/>
                <w:i w:val="0"/>
                <w:color w:val="auto"/>
                <w:sz w:val="24"/>
                <w:szCs w:val="24"/>
                <w:u w:val="none"/>
              </w:rPr>
            </w:pPr>
          </w:p>
        </w:tc>
        <w:tc>
          <w:tcPr>
            <w:tcW w:w="2836" w:type="dxa"/>
            <w:noWrap w:val="0"/>
            <w:vAlign w:val="center"/>
          </w:tcPr>
          <w:p>
            <w:pPr>
              <w:rPr>
                <w:rFonts w:hint="eastAsia" w:ascii="黑体" w:hAnsi="黑体" w:eastAsia="黑体" w:cs="黑体"/>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vMerge w:val="continue"/>
            <w:tcBorders>
              <w:left w:val="single" w:color="000000" w:sz="4" w:space="0"/>
              <w:right w:val="single" w:color="000000" w:sz="4" w:space="0"/>
            </w:tcBorders>
            <w:noWrap w:val="0"/>
            <w:vAlign w:val="center"/>
          </w:tcPr>
          <w:p>
            <w:pPr>
              <w:jc w:val="center"/>
              <w:rPr>
                <w:rFonts w:hint="eastAsia" w:ascii="黑体" w:hAnsi="黑体" w:eastAsia="黑体" w:cs="黑体"/>
                <w:i w:val="0"/>
                <w:color w:val="auto"/>
                <w:sz w:val="22"/>
                <w:szCs w:val="22"/>
                <w:u w:val="none"/>
              </w:rPr>
            </w:pPr>
          </w:p>
        </w:tc>
        <w:tc>
          <w:tcPr>
            <w:tcW w:w="345" w:type="dxa"/>
            <w:tcBorders>
              <w:right w:val="single" w:color="000000" w:sz="4" w:space="0"/>
            </w:tcBorders>
            <w:noWrap w:val="0"/>
            <w:vAlign w:val="center"/>
          </w:tcPr>
          <w:p>
            <w:pPr>
              <w:rPr>
                <w:rFonts w:hint="eastAsia" w:ascii="黑体" w:hAnsi="黑体" w:eastAsia="黑体" w:cs="黑体"/>
                <w:i w:val="0"/>
                <w:color w:val="auto"/>
                <w:sz w:val="24"/>
                <w:szCs w:val="24"/>
                <w:u w:val="none"/>
              </w:rPr>
            </w:pPr>
          </w:p>
        </w:tc>
        <w:tc>
          <w:tcPr>
            <w:tcW w:w="375" w:type="dxa"/>
            <w:noWrap w:val="0"/>
            <w:vAlign w:val="center"/>
          </w:tcPr>
          <w:p>
            <w:pPr>
              <w:rPr>
                <w:rFonts w:hint="eastAsia" w:ascii="黑体" w:hAnsi="黑体" w:eastAsia="黑体" w:cs="黑体"/>
                <w:i w:val="0"/>
                <w:color w:val="auto"/>
                <w:sz w:val="24"/>
                <w:szCs w:val="24"/>
                <w:u w:val="none"/>
              </w:rPr>
            </w:pPr>
          </w:p>
        </w:tc>
        <w:tc>
          <w:tcPr>
            <w:tcW w:w="2851" w:type="dxa"/>
            <w:noWrap w:val="0"/>
            <w:vAlign w:val="center"/>
          </w:tcPr>
          <w:p>
            <w:pPr>
              <w:rPr>
                <w:rFonts w:hint="eastAsia" w:ascii="黑体" w:hAnsi="黑体" w:eastAsia="黑体" w:cs="黑体"/>
                <w:i w:val="0"/>
                <w:color w:val="auto"/>
                <w:sz w:val="24"/>
                <w:szCs w:val="24"/>
                <w:u w:val="none"/>
              </w:rPr>
            </w:pPr>
          </w:p>
        </w:tc>
        <w:tc>
          <w:tcPr>
            <w:tcW w:w="330" w:type="dxa"/>
            <w:noWrap w:val="0"/>
            <w:vAlign w:val="center"/>
          </w:tcPr>
          <w:p>
            <w:pPr>
              <w:rPr>
                <w:rFonts w:hint="eastAsia" w:ascii="黑体" w:hAnsi="黑体" w:eastAsia="黑体" w:cs="黑体"/>
                <w:i w:val="0"/>
                <w:color w:val="auto"/>
                <w:sz w:val="24"/>
                <w:szCs w:val="24"/>
                <w:u w:val="none"/>
              </w:rPr>
            </w:pPr>
          </w:p>
        </w:tc>
        <w:tc>
          <w:tcPr>
            <w:tcW w:w="316" w:type="dxa"/>
            <w:tcBorders>
              <w:left w:val="single" w:color="000000" w:sz="4" w:space="0"/>
            </w:tcBorders>
            <w:noWrap w:val="0"/>
            <w:vAlign w:val="center"/>
          </w:tcPr>
          <w:p>
            <w:pPr>
              <w:rPr>
                <w:rFonts w:hint="eastAsia" w:ascii="黑体" w:hAnsi="黑体" w:eastAsia="黑体" w:cs="黑体"/>
                <w:i w:val="0"/>
                <w:color w:val="auto"/>
                <w:sz w:val="24"/>
                <w:szCs w:val="24"/>
                <w:u w:val="none"/>
              </w:rPr>
            </w:pPr>
          </w:p>
        </w:tc>
        <w:tc>
          <w:tcPr>
            <w:tcW w:w="283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color w:val="auto"/>
                <w:sz w:val="22"/>
                <w:szCs w:val="22"/>
                <w:u w:val="none"/>
              </w:rPr>
            </w:pPr>
            <w:r>
              <w:rPr>
                <w:rFonts w:hint="eastAsia" w:ascii="黑体" w:hAnsi="黑体" w:eastAsia="黑体" w:cs="黑体"/>
                <w:i w:val="0"/>
                <w:color w:val="auto"/>
                <w:kern w:val="0"/>
                <w:sz w:val="22"/>
                <w:szCs w:val="22"/>
                <w:u w:val="none"/>
                <w:lang w:val="en-US" w:eastAsia="zh-CN" w:bidi="ar"/>
              </w:rPr>
              <w:t>济南晨光空港实业有限公司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vMerge w:val="continue"/>
            <w:tcBorders>
              <w:left w:val="single" w:color="000000" w:sz="4" w:space="0"/>
              <w:right w:val="single" w:color="000000" w:sz="4" w:space="0"/>
            </w:tcBorders>
            <w:noWrap w:val="0"/>
            <w:vAlign w:val="center"/>
          </w:tcPr>
          <w:p>
            <w:pPr>
              <w:jc w:val="center"/>
              <w:rPr>
                <w:rFonts w:hint="eastAsia" w:ascii="黑体" w:hAnsi="黑体" w:eastAsia="黑体" w:cs="黑体"/>
                <w:i w:val="0"/>
                <w:color w:val="auto"/>
                <w:sz w:val="22"/>
                <w:szCs w:val="22"/>
                <w:u w:val="none"/>
              </w:rPr>
            </w:pPr>
          </w:p>
        </w:tc>
        <w:tc>
          <w:tcPr>
            <w:tcW w:w="345" w:type="dxa"/>
            <w:tcBorders>
              <w:right w:val="single" w:color="000000" w:sz="4" w:space="0"/>
            </w:tcBorders>
            <w:noWrap w:val="0"/>
            <w:vAlign w:val="center"/>
          </w:tcPr>
          <w:p>
            <w:pPr>
              <w:rPr>
                <w:rFonts w:hint="eastAsia" w:ascii="黑体" w:hAnsi="黑体" w:eastAsia="黑体" w:cs="黑体"/>
                <w:i w:val="0"/>
                <w:color w:val="auto"/>
                <w:sz w:val="24"/>
                <w:szCs w:val="24"/>
                <w:u w:val="none"/>
              </w:rPr>
            </w:pPr>
          </w:p>
        </w:tc>
        <w:tc>
          <w:tcPr>
            <w:tcW w:w="375" w:type="dxa"/>
            <w:noWrap w:val="0"/>
            <w:vAlign w:val="center"/>
          </w:tcPr>
          <w:p>
            <w:pPr>
              <w:rPr>
                <w:rFonts w:hint="eastAsia" w:ascii="黑体" w:hAnsi="黑体" w:eastAsia="黑体" w:cs="黑体"/>
                <w:i w:val="0"/>
                <w:color w:val="auto"/>
                <w:sz w:val="24"/>
                <w:szCs w:val="24"/>
                <w:u w:val="none"/>
              </w:rPr>
            </w:pPr>
          </w:p>
        </w:tc>
        <w:tc>
          <w:tcPr>
            <w:tcW w:w="285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color w:val="auto"/>
                <w:sz w:val="22"/>
                <w:szCs w:val="22"/>
                <w:u w:val="none"/>
              </w:rPr>
            </w:pPr>
            <w:r>
              <w:rPr>
                <w:rFonts w:hint="eastAsia" w:ascii="黑体" w:hAnsi="黑体" w:eastAsia="黑体" w:cs="黑体"/>
                <w:i w:val="0"/>
                <w:color w:val="auto"/>
                <w:kern w:val="0"/>
                <w:sz w:val="22"/>
                <w:szCs w:val="22"/>
                <w:u w:val="none"/>
                <w:lang w:val="en-US" w:eastAsia="zh-CN" w:bidi="ar"/>
              </w:rPr>
              <w:t>济南金至纸业有限公司</w:t>
            </w:r>
          </w:p>
        </w:tc>
        <w:tc>
          <w:tcPr>
            <w:tcW w:w="330" w:type="dxa"/>
            <w:noWrap w:val="0"/>
            <w:vAlign w:val="center"/>
          </w:tcPr>
          <w:p>
            <w:pPr>
              <w:rPr>
                <w:rFonts w:hint="eastAsia" w:ascii="黑体" w:hAnsi="黑体" w:eastAsia="黑体" w:cs="黑体"/>
                <w:i w:val="0"/>
                <w:color w:val="auto"/>
                <w:sz w:val="24"/>
                <w:szCs w:val="24"/>
                <w:u w:val="none"/>
              </w:rPr>
            </w:pPr>
          </w:p>
        </w:tc>
        <w:tc>
          <w:tcPr>
            <w:tcW w:w="316" w:type="dxa"/>
            <w:tcBorders>
              <w:top w:val="single" w:color="000000" w:sz="4" w:space="0"/>
            </w:tcBorders>
            <w:noWrap w:val="0"/>
            <w:vAlign w:val="center"/>
          </w:tcPr>
          <w:p>
            <w:pPr>
              <w:rPr>
                <w:rFonts w:hint="eastAsia" w:ascii="黑体" w:hAnsi="黑体" w:eastAsia="黑体" w:cs="黑体"/>
                <w:i w:val="0"/>
                <w:color w:val="auto"/>
                <w:sz w:val="24"/>
                <w:szCs w:val="24"/>
                <w:u w:val="none"/>
              </w:rPr>
            </w:pPr>
          </w:p>
        </w:tc>
        <w:tc>
          <w:tcPr>
            <w:tcW w:w="283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黑体" w:hAnsi="黑体" w:eastAsia="黑体" w:cs="黑体"/>
                <w:i w:val="0"/>
                <w:color w:val="auto"/>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vMerge w:val="continue"/>
            <w:tcBorders>
              <w:left w:val="single" w:color="000000" w:sz="4" w:space="0"/>
              <w:bottom w:val="single" w:color="auto" w:sz="4" w:space="0"/>
              <w:right w:val="single" w:color="000000" w:sz="4" w:space="0"/>
            </w:tcBorders>
            <w:noWrap w:val="0"/>
            <w:vAlign w:val="center"/>
          </w:tcPr>
          <w:p>
            <w:pPr>
              <w:rPr>
                <w:rFonts w:hint="eastAsia" w:ascii="黑体" w:hAnsi="黑体" w:eastAsia="黑体" w:cs="黑体"/>
                <w:i w:val="0"/>
                <w:color w:val="auto"/>
                <w:sz w:val="24"/>
                <w:szCs w:val="24"/>
                <w:u w:val="none"/>
              </w:rPr>
            </w:pPr>
          </w:p>
        </w:tc>
        <w:tc>
          <w:tcPr>
            <w:tcW w:w="345" w:type="dxa"/>
            <w:tcBorders>
              <w:right w:val="single" w:color="000000" w:sz="4" w:space="0"/>
            </w:tcBorders>
            <w:noWrap w:val="0"/>
            <w:vAlign w:val="center"/>
          </w:tcPr>
          <w:p>
            <w:pPr>
              <w:rPr>
                <w:rFonts w:hint="eastAsia" w:ascii="黑体" w:hAnsi="黑体" w:eastAsia="黑体" w:cs="黑体"/>
                <w:i w:val="0"/>
                <w:color w:val="auto"/>
                <w:sz w:val="24"/>
                <w:szCs w:val="24"/>
                <w:u w:val="none"/>
              </w:rPr>
            </w:pPr>
          </w:p>
        </w:tc>
        <w:tc>
          <w:tcPr>
            <w:tcW w:w="375" w:type="dxa"/>
            <w:tcBorders>
              <w:top w:val="single" w:color="000000" w:sz="4" w:space="0"/>
            </w:tcBorders>
            <w:noWrap w:val="0"/>
            <w:vAlign w:val="center"/>
          </w:tcPr>
          <w:p>
            <w:pPr>
              <w:rPr>
                <w:rFonts w:hint="eastAsia" w:ascii="黑体" w:hAnsi="黑体" w:eastAsia="黑体" w:cs="黑体"/>
                <w:i w:val="0"/>
                <w:color w:val="auto"/>
                <w:sz w:val="24"/>
                <w:szCs w:val="24"/>
                <w:u w:val="none"/>
              </w:rPr>
            </w:pPr>
          </w:p>
        </w:tc>
        <w:tc>
          <w:tcPr>
            <w:tcW w:w="2851"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黑体" w:hAnsi="黑体" w:eastAsia="黑体" w:cs="黑体"/>
                <w:i w:val="0"/>
                <w:color w:val="auto"/>
                <w:sz w:val="22"/>
                <w:szCs w:val="22"/>
                <w:u w:val="none"/>
              </w:rPr>
            </w:pPr>
          </w:p>
        </w:tc>
        <w:tc>
          <w:tcPr>
            <w:tcW w:w="330" w:type="dxa"/>
            <w:noWrap w:val="0"/>
            <w:vAlign w:val="center"/>
          </w:tcPr>
          <w:p>
            <w:pPr>
              <w:rPr>
                <w:rFonts w:hint="eastAsia" w:ascii="黑体" w:hAnsi="黑体" w:eastAsia="黑体" w:cs="黑体"/>
                <w:i w:val="0"/>
                <w:color w:val="auto"/>
                <w:sz w:val="24"/>
                <w:szCs w:val="24"/>
                <w:u w:val="none"/>
              </w:rPr>
            </w:pPr>
          </w:p>
        </w:tc>
        <w:tc>
          <w:tcPr>
            <w:tcW w:w="316" w:type="dxa"/>
            <w:noWrap w:val="0"/>
            <w:vAlign w:val="center"/>
          </w:tcPr>
          <w:p>
            <w:pPr>
              <w:rPr>
                <w:rFonts w:hint="eastAsia" w:ascii="黑体" w:hAnsi="黑体" w:eastAsia="黑体" w:cs="黑体"/>
                <w:i w:val="0"/>
                <w:color w:val="auto"/>
                <w:sz w:val="24"/>
                <w:szCs w:val="24"/>
                <w:u w:val="none"/>
              </w:rPr>
            </w:pPr>
          </w:p>
        </w:tc>
        <w:tc>
          <w:tcPr>
            <w:tcW w:w="2836" w:type="dxa"/>
            <w:noWrap w:val="0"/>
            <w:vAlign w:val="center"/>
          </w:tcPr>
          <w:p>
            <w:pPr>
              <w:rPr>
                <w:rFonts w:hint="eastAsia" w:ascii="黑体" w:hAnsi="黑体" w:eastAsia="黑体" w:cs="黑体"/>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tcBorders>
              <w:top w:val="single" w:color="auto" w:sz="4" w:space="0"/>
            </w:tcBorders>
            <w:noWrap w:val="0"/>
            <w:vAlign w:val="center"/>
          </w:tcPr>
          <w:p>
            <w:pPr>
              <w:rPr>
                <w:rFonts w:hint="eastAsia" w:ascii="黑体" w:hAnsi="黑体" w:eastAsia="黑体" w:cs="黑体"/>
                <w:i w:val="0"/>
                <w:color w:val="auto"/>
                <w:sz w:val="24"/>
                <w:szCs w:val="24"/>
                <w:u w:val="none"/>
              </w:rPr>
            </w:pPr>
          </w:p>
        </w:tc>
        <w:tc>
          <w:tcPr>
            <w:tcW w:w="345" w:type="dxa"/>
            <w:tcBorders>
              <w:right w:val="single" w:color="000000" w:sz="4" w:space="0"/>
            </w:tcBorders>
            <w:noWrap w:val="0"/>
            <w:vAlign w:val="center"/>
          </w:tcPr>
          <w:p>
            <w:pPr>
              <w:rPr>
                <w:rFonts w:hint="eastAsia" w:ascii="黑体" w:hAnsi="黑体" w:eastAsia="黑体" w:cs="黑体"/>
                <w:i w:val="0"/>
                <w:color w:val="auto"/>
                <w:sz w:val="24"/>
                <w:szCs w:val="24"/>
                <w:u w:val="none"/>
              </w:rPr>
            </w:pPr>
          </w:p>
        </w:tc>
        <w:tc>
          <w:tcPr>
            <w:tcW w:w="375" w:type="dxa"/>
            <w:noWrap w:val="0"/>
            <w:vAlign w:val="center"/>
          </w:tcPr>
          <w:p>
            <w:pPr>
              <w:rPr>
                <w:rFonts w:hint="eastAsia" w:ascii="黑体" w:hAnsi="黑体" w:eastAsia="黑体" w:cs="黑体"/>
                <w:i w:val="0"/>
                <w:color w:val="auto"/>
                <w:sz w:val="24"/>
                <w:szCs w:val="24"/>
                <w:u w:val="none"/>
              </w:rPr>
            </w:pPr>
          </w:p>
        </w:tc>
        <w:tc>
          <w:tcPr>
            <w:tcW w:w="2851" w:type="dxa"/>
            <w:noWrap w:val="0"/>
            <w:vAlign w:val="center"/>
          </w:tcPr>
          <w:p>
            <w:pPr>
              <w:rPr>
                <w:rFonts w:hint="eastAsia" w:ascii="黑体" w:hAnsi="黑体" w:eastAsia="黑体" w:cs="黑体"/>
                <w:i w:val="0"/>
                <w:color w:val="auto"/>
                <w:sz w:val="24"/>
                <w:szCs w:val="24"/>
                <w:u w:val="none"/>
              </w:rPr>
            </w:pPr>
          </w:p>
        </w:tc>
        <w:tc>
          <w:tcPr>
            <w:tcW w:w="330" w:type="dxa"/>
            <w:noWrap w:val="0"/>
            <w:vAlign w:val="center"/>
          </w:tcPr>
          <w:p>
            <w:pPr>
              <w:rPr>
                <w:rFonts w:hint="eastAsia" w:ascii="黑体" w:hAnsi="黑体" w:eastAsia="黑体" w:cs="黑体"/>
                <w:i w:val="0"/>
                <w:color w:val="auto"/>
                <w:sz w:val="24"/>
                <w:szCs w:val="24"/>
                <w:u w:val="none"/>
              </w:rPr>
            </w:pPr>
          </w:p>
        </w:tc>
        <w:tc>
          <w:tcPr>
            <w:tcW w:w="316" w:type="dxa"/>
            <w:noWrap w:val="0"/>
            <w:vAlign w:val="center"/>
          </w:tcPr>
          <w:p>
            <w:pPr>
              <w:rPr>
                <w:rFonts w:hint="eastAsia" w:ascii="黑体" w:hAnsi="黑体" w:eastAsia="黑体" w:cs="黑体"/>
                <w:i w:val="0"/>
                <w:color w:val="auto"/>
                <w:sz w:val="24"/>
                <w:szCs w:val="24"/>
                <w:u w:val="none"/>
              </w:rPr>
            </w:pPr>
          </w:p>
        </w:tc>
        <w:tc>
          <w:tcPr>
            <w:tcW w:w="2836" w:type="dxa"/>
            <w:noWrap w:val="0"/>
            <w:vAlign w:val="center"/>
          </w:tcPr>
          <w:p>
            <w:pPr>
              <w:rPr>
                <w:rFonts w:hint="eastAsia" w:ascii="黑体" w:hAnsi="黑体" w:eastAsia="黑体" w:cs="黑体"/>
                <w:i w:val="0"/>
                <w:color w:val="auto"/>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noWrap w:val="0"/>
            <w:vAlign w:val="center"/>
          </w:tcPr>
          <w:p>
            <w:pPr>
              <w:rPr>
                <w:rFonts w:hint="eastAsia" w:ascii="黑体" w:hAnsi="黑体" w:eastAsia="黑体" w:cs="黑体"/>
                <w:i w:val="0"/>
                <w:color w:val="auto"/>
                <w:sz w:val="24"/>
                <w:szCs w:val="24"/>
                <w:u w:val="none"/>
              </w:rPr>
            </w:pPr>
          </w:p>
        </w:tc>
        <w:tc>
          <w:tcPr>
            <w:tcW w:w="345" w:type="dxa"/>
            <w:tcBorders>
              <w:right w:val="single" w:color="000000" w:sz="4" w:space="0"/>
            </w:tcBorders>
            <w:noWrap w:val="0"/>
            <w:vAlign w:val="center"/>
          </w:tcPr>
          <w:p>
            <w:pPr>
              <w:rPr>
                <w:rFonts w:hint="eastAsia" w:ascii="黑体" w:hAnsi="黑体" w:eastAsia="黑体" w:cs="黑体"/>
                <w:i w:val="0"/>
                <w:color w:val="auto"/>
                <w:sz w:val="24"/>
                <w:szCs w:val="24"/>
                <w:u w:val="none"/>
              </w:rPr>
            </w:pPr>
          </w:p>
        </w:tc>
        <w:tc>
          <w:tcPr>
            <w:tcW w:w="375" w:type="dxa"/>
            <w:noWrap w:val="0"/>
            <w:vAlign w:val="center"/>
          </w:tcPr>
          <w:p>
            <w:pPr>
              <w:rPr>
                <w:rFonts w:hint="eastAsia" w:ascii="黑体" w:hAnsi="黑体" w:eastAsia="黑体" w:cs="黑体"/>
                <w:i w:val="0"/>
                <w:color w:val="auto"/>
                <w:sz w:val="24"/>
                <w:szCs w:val="24"/>
                <w:u w:val="none"/>
              </w:rPr>
            </w:pPr>
          </w:p>
        </w:tc>
        <w:tc>
          <w:tcPr>
            <w:tcW w:w="285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color w:val="auto"/>
                <w:sz w:val="22"/>
                <w:szCs w:val="22"/>
                <w:u w:val="none"/>
              </w:rPr>
            </w:pPr>
            <w:r>
              <w:rPr>
                <w:rFonts w:hint="eastAsia" w:ascii="黑体" w:hAnsi="黑体" w:eastAsia="黑体" w:cs="黑体"/>
                <w:i w:val="0"/>
                <w:color w:val="auto"/>
                <w:kern w:val="0"/>
                <w:sz w:val="22"/>
                <w:szCs w:val="22"/>
                <w:u w:val="none"/>
                <w:lang w:val="en-US" w:eastAsia="zh-CN" w:bidi="ar"/>
              </w:rPr>
              <w:t>济南欣易特种纸业有限公司</w:t>
            </w:r>
          </w:p>
        </w:tc>
        <w:tc>
          <w:tcPr>
            <w:tcW w:w="330" w:type="dxa"/>
            <w:tcBorders>
              <w:bottom w:val="single" w:color="000000" w:sz="4" w:space="0"/>
            </w:tcBorders>
            <w:noWrap w:val="0"/>
            <w:vAlign w:val="center"/>
          </w:tcPr>
          <w:p>
            <w:pPr>
              <w:rPr>
                <w:rFonts w:hint="eastAsia" w:ascii="黑体" w:hAnsi="黑体" w:eastAsia="黑体" w:cs="黑体"/>
                <w:i w:val="0"/>
                <w:color w:val="auto"/>
                <w:sz w:val="24"/>
                <w:szCs w:val="24"/>
                <w:u w:val="none"/>
              </w:rPr>
            </w:pPr>
          </w:p>
        </w:tc>
        <w:tc>
          <w:tcPr>
            <w:tcW w:w="316" w:type="dxa"/>
            <w:tcBorders>
              <w:bottom w:val="single" w:color="000000" w:sz="4" w:space="0"/>
            </w:tcBorders>
            <w:noWrap w:val="0"/>
            <w:vAlign w:val="center"/>
          </w:tcPr>
          <w:p>
            <w:pPr>
              <w:rPr>
                <w:rFonts w:hint="eastAsia" w:ascii="黑体" w:hAnsi="黑体" w:eastAsia="黑体" w:cs="黑体"/>
                <w:i w:val="0"/>
                <w:color w:val="auto"/>
                <w:sz w:val="24"/>
                <w:szCs w:val="24"/>
                <w:u w:val="none"/>
              </w:rPr>
            </w:pPr>
          </w:p>
        </w:tc>
        <w:tc>
          <w:tcPr>
            <w:tcW w:w="283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黑体" w:eastAsia="黑体" w:cs="黑体"/>
                <w:i w:val="0"/>
                <w:color w:val="auto"/>
                <w:sz w:val="22"/>
                <w:szCs w:val="22"/>
                <w:u w:val="none"/>
              </w:rPr>
            </w:pPr>
            <w:r>
              <w:rPr>
                <w:rFonts w:hint="eastAsia" w:ascii="黑体" w:hAnsi="黑体" w:eastAsia="黑体" w:cs="黑体"/>
                <w:i w:val="0"/>
                <w:color w:val="auto"/>
                <w:kern w:val="0"/>
                <w:sz w:val="22"/>
                <w:szCs w:val="22"/>
                <w:u w:val="none"/>
                <w:lang w:val="en-US" w:eastAsia="zh-CN" w:bidi="ar"/>
              </w:rPr>
              <w:t>山东润诚特种纸业有限公司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41" w:hRule="atLeast"/>
        </w:trPr>
        <w:tc>
          <w:tcPr>
            <w:tcW w:w="417" w:type="dxa"/>
            <w:noWrap w:val="0"/>
            <w:vAlign w:val="center"/>
          </w:tcPr>
          <w:p>
            <w:pPr>
              <w:rPr>
                <w:rFonts w:hint="eastAsia" w:ascii="宋体" w:hAnsi="宋体" w:eastAsia="宋体" w:cs="宋体"/>
                <w:i w:val="0"/>
                <w:color w:val="auto"/>
                <w:sz w:val="24"/>
                <w:szCs w:val="24"/>
                <w:u w:val="none"/>
              </w:rPr>
            </w:pPr>
          </w:p>
        </w:tc>
        <w:tc>
          <w:tcPr>
            <w:tcW w:w="600" w:type="dxa"/>
            <w:noWrap w:val="0"/>
            <w:vAlign w:val="center"/>
          </w:tcPr>
          <w:p>
            <w:pPr>
              <w:rPr>
                <w:rFonts w:hint="eastAsia" w:ascii="宋体" w:hAnsi="宋体" w:eastAsia="宋体" w:cs="宋体"/>
                <w:i w:val="0"/>
                <w:color w:val="auto"/>
                <w:sz w:val="24"/>
                <w:szCs w:val="24"/>
                <w:u w:val="none"/>
              </w:rPr>
            </w:pPr>
          </w:p>
        </w:tc>
        <w:tc>
          <w:tcPr>
            <w:tcW w:w="345" w:type="dxa"/>
            <w:noWrap w:val="0"/>
            <w:vAlign w:val="center"/>
          </w:tcPr>
          <w:p>
            <w:pPr>
              <w:rPr>
                <w:rFonts w:hint="eastAsia" w:ascii="宋体" w:hAnsi="宋体" w:eastAsia="宋体" w:cs="宋体"/>
                <w:i w:val="0"/>
                <w:color w:val="auto"/>
                <w:sz w:val="24"/>
                <w:szCs w:val="24"/>
                <w:u w:val="none"/>
              </w:rPr>
            </w:pPr>
          </w:p>
        </w:tc>
        <w:tc>
          <w:tcPr>
            <w:tcW w:w="375" w:type="dxa"/>
            <w:tcBorders>
              <w:top w:val="single" w:color="000000" w:sz="4" w:space="0"/>
            </w:tcBorders>
            <w:noWrap w:val="0"/>
            <w:vAlign w:val="center"/>
          </w:tcPr>
          <w:p>
            <w:pPr>
              <w:rPr>
                <w:rFonts w:hint="eastAsia" w:ascii="宋体" w:hAnsi="宋体" w:eastAsia="宋体" w:cs="宋体"/>
                <w:i w:val="0"/>
                <w:color w:val="auto"/>
                <w:sz w:val="24"/>
                <w:szCs w:val="24"/>
                <w:u w:val="none"/>
              </w:rPr>
            </w:pPr>
          </w:p>
        </w:tc>
        <w:tc>
          <w:tcPr>
            <w:tcW w:w="2851"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auto"/>
                <w:sz w:val="22"/>
                <w:szCs w:val="22"/>
                <w:u w:val="none"/>
              </w:rPr>
            </w:pPr>
          </w:p>
        </w:tc>
        <w:tc>
          <w:tcPr>
            <w:tcW w:w="330" w:type="dxa"/>
            <w:noWrap w:val="0"/>
            <w:vAlign w:val="center"/>
          </w:tcPr>
          <w:p>
            <w:pPr>
              <w:rPr>
                <w:rFonts w:hint="eastAsia" w:ascii="宋体" w:hAnsi="宋体" w:eastAsia="宋体" w:cs="宋体"/>
                <w:i w:val="0"/>
                <w:color w:val="auto"/>
                <w:sz w:val="24"/>
                <w:szCs w:val="24"/>
                <w:u w:val="none"/>
              </w:rPr>
            </w:pPr>
          </w:p>
        </w:tc>
        <w:tc>
          <w:tcPr>
            <w:tcW w:w="316" w:type="dxa"/>
            <w:noWrap w:val="0"/>
            <w:vAlign w:val="center"/>
          </w:tcPr>
          <w:p>
            <w:pPr>
              <w:rPr>
                <w:rFonts w:hint="eastAsia" w:ascii="宋体" w:hAnsi="宋体" w:eastAsia="宋体" w:cs="宋体"/>
                <w:i w:val="0"/>
                <w:color w:val="auto"/>
                <w:sz w:val="24"/>
                <w:szCs w:val="24"/>
                <w:u w:val="none"/>
              </w:rPr>
            </w:pPr>
          </w:p>
        </w:tc>
        <w:tc>
          <w:tcPr>
            <w:tcW w:w="2836" w:type="dxa"/>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color w:val="auto"/>
                <w:sz w:val="22"/>
                <w:szCs w:val="22"/>
                <w:u w:val="none"/>
              </w:rPr>
            </w:pPr>
          </w:p>
        </w:tc>
      </w:tr>
    </w:tbl>
    <w:p>
      <w:pPr>
        <w:pStyle w:val="7"/>
        <w:keepNext w:val="0"/>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600" w:lineRule="exact"/>
        <w:ind w:firstLine="672" w:firstLineChars="200"/>
        <w:jc w:val="both"/>
        <w:textAlignment w:val="auto"/>
        <w:rPr>
          <w:rFonts w:hint="eastAsia" w:ascii="仿宋_GB2312" w:hAnsi="仿宋" w:eastAsia="仿宋_GB2312" w:cs="仿宋"/>
          <w:spacing w:val="8"/>
          <w:sz w:val="32"/>
          <w:szCs w:val="32"/>
          <w:shd w:val="clear" w:color="auto" w:fill="FFFFFF"/>
          <w:lang w:val="en-US" w:eastAsia="zh-CN"/>
        </w:rPr>
      </w:pPr>
      <w:r>
        <w:rPr>
          <w:rFonts w:hint="eastAsia" w:ascii="仿宋_GB2312" w:hAnsi="仿宋" w:eastAsia="仿宋_GB2312" w:cs="仿宋"/>
          <w:spacing w:val="8"/>
          <w:sz w:val="32"/>
          <w:szCs w:val="32"/>
          <w:shd w:val="clear" w:color="auto" w:fill="FFFFFF"/>
          <w:lang w:eastAsia="zh-CN"/>
        </w:rPr>
        <w:t>（</w:t>
      </w:r>
      <w:r>
        <w:rPr>
          <w:rFonts w:hint="eastAsia" w:ascii="仿宋_GB2312" w:hAnsi="仿宋" w:eastAsia="仿宋_GB2312" w:cs="仿宋"/>
          <w:spacing w:val="8"/>
          <w:sz w:val="32"/>
          <w:szCs w:val="32"/>
          <w:shd w:val="clear" w:color="auto" w:fill="FFFFFF"/>
          <w:lang w:val="en-US" w:eastAsia="zh-CN"/>
        </w:rPr>
        <w:t>3</w:t>
      </w:r>
      <w:r>
        <w:rPr>
          <w:rFonts w:hint="eastAsia" w:ascii="仿宋_GB2312" w:hAnsi="仿宋" w:eastAsia="仿宋_GB2312" w:cs="仿宋"/>
          <w:spacing w:val="8"/>
          <w:sz w:val="32"/>
          <w:szCs w:val="32"/>
          <w:shd w:val="clear" w:color="auto" w:fill="FFFFFF"/>
          <w:lang w:eastAsia="zh-CN"/>
        </w:rPr>
        <w:t>）</w:t>
      </w:r>
      <w:r>
        <w:rPr>
          <w:rFonts w:hint="eastAsia" w:ascii="仿宋_GB2312" w:hAnsi="仿宋" w:eastAsia="仿宋_GB2312" w:cs="仿宋"/>
          <w:spacing w:val="8"/>
          <w:sz w:val="32"/>
          <w:szCs w:val="32"/>
          <w:shd w:val="clear" w:color="auto" w:fill="FFFFFF"/>
          <w:lang w:val="en-US" w:eastAsia="zh-CN"/>
        </w:rPr>
        <w:t>法人治理结构</w:t>
      </w:r>
      <w:r>
        <w:rPr>
          <w:rFonts w:hint="eastAsia" w:ascii="仿宋_GB2312" w:hAnsi="仿宋" w:eastAsia="仿宋_GB2312" w:cs="仿宋"/>
          <w:spacing w:val="8"/>
          <w:sz w:val="32"/>
          <w:szCs w:val="32"/>
          <w:shd w:val="clear" w:color="auto" w:fill="FFFFFF"/>
        </w:rPr>
        <w:t>。</w:t>
      </w:r>
    </w:p>
    <w:p>
      <w:pPr>
        <w:keepNext w:val="0"/>
        <w:keepLines w:val="0"/>
        <w:pageBreakBefore w:val="0"/>
        <w:numPr>
          <w:ilvl w:val="0"/>
          <w:numId w:val="0"/>
        </w:numPr>
        <w:kinsoku/>
        <w:wordWrap/>
        <w:overflowPunct/>
        <w:topLinePunct w:val="0"/>
        <w:autoSpaceDE/>
        <w:autoSpaceDN/>
        <w:bidi w:val="0"/>
        <w:adjustRightInd/>
        <w:snapToGrid/>
        <w:spacing w:line="600" w:lineRule="exact"/>
        <w:ind w:firstLine="672" w:firstLineChars="200"/>
        <w:textAlignment w:val="auto"/>
        <w:rPr>
          <w:rFonts w:hint="eastAsia" w:ascii="仿宋_GB2312" w:hAnsi="仿宋" w:eastAsia="仿宋_GB2312" w:cs="仿宋"/>
          <w:spacing w:val="8"/>
          <w:sz w:val="32"/>
          <w:szCs w:val="32"/>
          <w:shd w:val="clear" w:color="auto" w:fill="FFFFFF"/>
          <w:lang w:val="en-US" w:eastAsia="zh-CN"/>
        </w:rPr>
      </w:pPr>
      <w:r>
        <w:rPr>
          <w:rFonts w:hint="eastAsia" w:ascii="仿宋_GB2312" w:hAnsi="仿宋" w:eastAsia="仿宋_GB2312" w:cs="仿宋"/>
          <w:spacing w:val="8"/>
          <w:sz w:val="32"/>
          <w:szCs w:val="32"/>
          <w:shd w:val="clear" w:color="auto" w:fill="FFFFFF"/>
          <w:lang w:val="en-US" w:eastAsia="zh-CN"/>
        </w:rPr>
        <w:t>在公司法人治理结构方面，济南市人民政府国有资产监督管理委员会是润易集团的唯一出资人，润易集团按照公司法注册，并设立了党委会、董事会、监事会、经营层。决策层、监督层、经营管理层按照工作规则各司其职，各负其责。</w:t>
      </w:r>
    </w:p>
    <w:p>
      <w:pPr>
        <w:keepNext w:val="0"/>
        <w:keepLines w:val="0"/>
        <w:pageBreakBefore w:val="0"/>
        <w:numPr>
          <w:ilvl w:val="0"/>
          <w:numId w:val="0"/>
        </w:numPr>
        <w:kinsoku/>
        <w:wordWrap/>
        <w:overflowPunct/>
        <w:topLinePunct w:val="0"/>
        <w:autoSpaceDE/>
        <w:autoSpaceDN/>
        <w:bidi w:val="0"/>
        <w:adjustRightInd/>
        <w:snapToGrid/>
        <w:spacing w:line="600" w:lineRule="exact"/>
        <w:ind w:firstLine="672" w:firstLineChars="200"/>
        <w:textAlignment w:val="auto"/>
        <w:rPr>
          <w:rFonts w:hint="eastAsia" w:ascii="仿宋_GB2312" w:hAnsi="仿宋" w:eastAsia="仿宋_GB2312" w:cs="仿宋"/>
          <w:spacing w:val="8"/>
          <w:sz w:val="32"/>
          <w:szCs w:val="32"/>
          <w:shd w:val="clear" w:color="auto" w:fill="FFFFFF"/>
          <w:lang w:val="en-US" w:eastAsia="zh-CN"/>
        </w:rPr>
      </w:pPr>
      <w:r>
        <w:rPr>
          <w:rFonts w:hint="eastAsia" w:ascii="仿宋_GB2312" w:hAnsi="仿宋" w:eastAsia="仿宋_GB2312" w:cs="仿宋"/>
          <w:spacing w:val="8"/>
          <w:sz w:val="32"/>
          <w:szCs w:val="32"/>
          <w:shd w:val="clear" w:color="auto" w:fill="FFFFFF"/>
          <w:lang w:val="en-US" w:eastAsia="zh-CN"/>
        </w:rPr>
        <w:t>公司不设股东会，由济南市人民政府国有资产监督管理委员会履行出资人职责。公司法人代表由董事长担任。公司设立党委，由5人组成，其中设党委书记1人，副书记2人，委员2人。公司实行“双向进入、交叉任职”的领导体制，党委书记由董事长兼任、党委副书记由总经理兼任、并设党委副书记、纪委书记1人。公司重大经营管理事项必须经党委前置研究讨论后，再由董事会或者经理层作出决定。</w:t>
      </w:r>
    </w:p>
    <w:p>
      <w:pPr>
        <w:keepNext w:val="0"/>
        <w:keepLines w:val="0"/>
        <w:pageBreakBefore w:val="0"/>
        <w:numPr>
          <w:ilvl w:val="0"/>
          <w:numId w:val="0"/>
        </w:numPr>
        <w:kinsoku/>
        <w:wordWrap/>
        <w:overflowPunct/>
        <w:topLinePunct w:val="0"/>
        <w:autoSpaceDE/>
        <w:autoSpaceDN/>
        <w:bidi w:val="0"/>
        <w:adjustRightInd/>
        <w:snapToGrid/>
        <w:spacing w:line="600" w:lineRule="exact"/>
        <w:ind w:firstLine="672" w:firstLineChars="200"/>
        <w:textAlignment w:val="auto"/>
        <w:rPr>
          <w:rFonts w:hint="eastAsia" w:ascii="仿宋_GB2312" w:hAnsi="仿宋" w:eastAsia="仿宋_GB2312" w:cs="仿宋"/>
          <w:spacing w:val="8"/>
          <w:sz w:val="32"/>
          <w:szCs w:val="32"/>
          <w:shd w:val="clear" w:color="auto" w:fill="FFFFFF"/>
        </w:rPr>
      </w:pPr>
      <w:r>
        <w:rPr>
          <w:rFonts w:hint="eastAsia" w:ascii="仿宋_GB2312" w:hAnsi="仿宋" w:eastAsia="仿宋_GB2312" w:cs="仿宋"/>
          <w:spacing w:val="8"/>
          <w:sz w:val="32"/>
          <w:szCs w:val="32"/>
          <w:shd w:val="clear" w:color="auto" w:fill="FFFFFF"/>
          <w:lang w:val="en-US" w:eastAsia="zh-CN"/>
        </w:rPr>
        <w:t>公司设立董事会，由6名董事组成，其中股东委派董事5名，职工代表董事1名，董事长作为法人代表由股东在董事会成员中指定，董事长、总经理分设。公司设立监事会，原有监事5名，但是因实际机构变动，股东派出的监事会主席和监事已经返回派出单位，目前仅有职工代表监事3名。</w:t>
      </w:r>
    </w:p>
    <w:p>
      <w:pPr>
        <w:spacing w:line="400" w:lineRule="exact"/>
        <w:rPr>
          <w:rFonts w:ascii="仿宋" w:hAnsi="仿宋" w:eastAsia="仿宋" w:cs="仿宋"/>
          <w:spacing w:val="8"/>
          <w:sz w:val="32"/>
          <w:szCs w:val="32"/>
          <w:shd w:val="clear" w:color="auto" w:fill="FFFFFF"/>
        </w:rPr>
      </w:pPr>
    </w:p>
    <w:p>
      <w:pPr>
        <w:numPr>
          <w:ilvl w:val="0"/>
          <w:numId w:val="0"/>
        </w:numPr>
        <w:spacing w:line="400" w:lineRule="exact"/>
        <w:ind w:firstLine="672" w:firstLineChars="200"/>
        <w:rPr>
          <w:rFonts w:hint="eastAsia" w:ascii="仿宋_GB2312" w:hAnsi="仿宋" w:eastAsia="仿宋_GB2312" w:cs="仿宋"/>
          <w:spacing w:val="8"/>
          <w:sz w:val="32"/>
          <w:szCs w:val="32"/>
          <w:shd w:val="clear" w:color="auto" w:fill="FFFFFF"/>
        </w:rPr>
      </w:pPr>
      <w:r>
        <w:rPr>
          <w:rFonts w:hint="eastAsia" w:ascii="仿宋_GB2312" w:hAnsi="仿宋" w:eastAsia="仿宋_GB2312" w:cs="仿宋"/>
          <w:spacing w:val="8"/>
          <w:sz w:val="32"/>
          <w:szCs w:val="32"/>
          <w:shd w:val="clear" w:color="auto" w:fill="FFFFFF"/>
          <w:lang w:eastAsia="zh-CN"/>
        </w:rPr>
        <w:t>（</w:t>
      </w:r>
      <w:r>
        <w:rPr>
          <w:rFonts w:hint="eastAsia" w:ascii="仿宋_GB2312" w:hAnsi="仿宋" w:eastAsia="仿宋_GB2312" w:cs="仿宋"/>
          <w:spacing w:val="8"/>
          <w:sz w:val="32"/>
          <w:szCs w:val="32"/>
          <w:shd w:val="clear" w:color="auto" w:fill="FFFFFF"/>
          <w:lang w:val="en-US" w:eastAsia="zh-CN"/>
        </w:rPr>
        <w:t>4</w:t>
      </w:r>
      <w:r>
        <w:rPr>
          <w:rFonts w:hint="eastAsia" w:ascii="仿宋_GB2312" w:hAnsi="仿宋" w:eastAsia="仿宋_GB2312" w:cs="仿宋"/>
          <w:spacing w:val="8"/>
          <w:sz w:val="32"/>
          <w:szCs w:val="32"/>
          <w:shd w:val="clear" w:color="auto" w:fill="FFFFFF"/>
          <w:lang w:eastAsia="zh-CN"/>
        </w:rPr>
        <w:t>）</w:t>
      </w:r>
      <w:r>
        <w:rPr>
          <w:rFonts w:hint="eastAsia" w:ascii="仿宋_GB2312" w:hAnsi="仿宋" w:eastAsia="仿宋_GB2312" w:cs="仿宋"/>
          <w:spacing w:val="8"/>
          <w:sz w:val="32"/>
          <w:szCs w:val="32"/>
          <w:shd w:val="clear" w:color="auto" w:fill="FFFFFF"/>
        </w:rPr>
        <w:t>二级及以下权属企业（公司）基本情况。</w:t>
      </w:r>
    </w:p>
    <w:p>
      <w:pPr>
        <w:spacing w:line="400" w:lineRule="exact"/>
        <w:ind w:left="672"/>
        <w:rPr>
          <w:rFonts w:ascii="仿宋_GB2312" w:hAnsi="仿宋" w:eastAsia="仿宋_GB2312" w:cs="仿宋"/>
          <w:spacing w:val="8"/>
          <w:sz w:val="32"/>
          <w:szCs w:val="32"/>
          <w:shd w:val="clear" w:color="auto" w:fill="FFFFFF"/>
        </w:rPr>
      </w:pPr>
    </w:p>
    <w:p>
      <w:pPr>
        <w:spacing w:line="400" w:lineRule="exact"/>
        <w:rPr>
          <w:rFonts w:ascii="仿宋_GB2312" w:hAnsi="仿宋" w:eastAsia="仿宋_GB2312" w:cs="仿宋"/>
          <w:b/>
          <w:spacing w:val="8"/>
          <w:sz w:val="32"/>
          <w:szCs w:val="32"/>
          <w:shd w:val="clear" w:color="auto" w:fill="FFFFFF"/>
        </w:rPr>
      </w:pPr>
      <w:r>
        <w:rPr>
          <w:rFonts w:hint="eastAsia" w:ascii="仿宋_GB2312" w:hAnsi="仿宋" w:eastAsia="仿宋_GB2312" w:cs="仿宋"/>
          <w:b/>
          <w:spacing w:val="8"/>
          <w:sz w:val="32"/>
          <w:szCs w:val="32"/>
          <w:shd w:val="clear" w:color="auto" w:fill="FFFFFF"/>
        </w:rPr>
        <w:t>表1-1  2020年二级及以下企业（公司）基本情况</w:t>
      </w:r>
    </w:p>
    <w:p>
      <w:pPr>
        <w:adjustRightInd w:val="0"/>
        <w:snapToGrid w:val="0"/>
        <w:spacing w:line="400" w:lineRule="exact"/>
        <w:jc w:val="center"/>
        <w:rPr>
          <w:rFonts w:ascii="宋体" w:hAnsi="宋体"/>
          <w:b/>
          <w:sz w:val="32"/>
          <w:szCs w:val="32"/>
        </w:rPr>
      </w:pPr>
    </w:p>
    <w:tbl>
      <w:tblPr>
        <w:tblStyle w:val="8"/>
        <w:tblW w:w="8996" w:type="dxa"/>
        <w:tblInd w:w="-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0"/>
        <w:gridCol w:w="870"/>
        <w:gridCol w:w="840"/>
        <w:gridCol w:w="630"/>
        <w:gridCol w:w="930"/>
        <w:gridCol w:w="780"/>
        <w:gridCol w:w="855"/>
        <w:gridCol w:w="78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trPr>
        <w:tc>
          <w:tcPr>
            <w:tcW w:w="2460" w:type="dxa"/>
            <w:vMerge w:val="restart"/>
            <w:noWrap w:val="0"/>
            <w:vAlign w:val="center"/>
          </w:tcPr>
          <w:p>
            <w:pPr>
              <w:adjustRightInd w:val="0"/>
              <w:snapToGrid w:val="0"/>
              <w:jc w:val="center"/>
              <w:rPr>
                <w:rFonts w:hint="eastAsia" w:ascii="黑体" w:hAnsi="宋体" w:eastAsia="黑体"/>
                <w:bCs/>
                <w:szCs w:val="21"/>
              </w:rPr>
            </w:pPr>
            <w:r>
              <w:rPr>
                <w:rFonts w:hint="eastAsia" w:ascii="黑体" w:hAnsi="宋体" w:eastAsia="黑体"/>
                <w:bCs/>
                <w:szCs w:val="21"/>
              </w:rPr>
              <w:t>企业（公司）名称</w:t>
            </w:r>
          </w:p>
        </w:tc>
        <w:tc>
          <w:tcPr>
            <w:tcW w:w="1710" w:type="dxa"/>
            <w:gridSpan w:val="2"/>
            <w:noWrap w:val="0"/>
            <w:vAlign w:val="center"/>
          </w:tcPr>
          <w:p>
            <w:pPr>
              <w:adjustRightInd w:val="0"/>
              <w:snapToGrid w:val="0"/>
              <w:jc w:val="center"/>
              <w:rPr>
                <w:rFonts w:hint="eastAsia" w:ascii="黑体" w:hAnsi="宋体" w:eastAsia="黑体"/>
                <w:bCs/>
                <w:spacing w:val="-20"/>
                <w:szCs w:val="21"/>
              </w:rPr>
            </w:pPr>
            <w:r>
              <w:rPr>
                <w:rFonts w:hint="eastAsia" w:ascii="黑体" w:hAnsi="宋体" w:eastAsia="黑体"/>
                <w:bCs/>
                <w:spacing w:val="-20"/>
                <w:szCs w:val="21"/>
              </w:rPr>
              <w:t>产权状况</w:t>
            </w:r>
          </w:p>
        </w:tc>
        <w:tc>
          <w:tcPr>
            <w:tcW w:w="630" w:type="dxa"/>
            <w:vMerge w:val="restart"/>
            <w:noWrap w:val="0"/>
            <w:vAlign w:val="center"/>
          </w:tcPr>
          <w:p>
            <w:pPr>
              <w:adjustRightInd w:val="0"/>
              <w:snapToGrid w:val="0"/>
              <w:jc w:val="center"/>
              <w:rPr>
                <w:rFonts w:hint="eastAsia" w:ascii="黑体" w:hAnsi="宋体" w:eastAsia="黑体"/>
                <w:bCs/>
                <w:spacing w:val="-20"/>
                <w:szCs w:val="21"/>
              </w:rPr>
            </w:pPr>
            <w:r>
              <w:rPr>
                <w:rFonts w:hint="eastAsia" w:ascii="黑体" w:hAnsi="宋体" w:eastAsia="黑体"/>
                <w:bCs/>
                <w:spacing w:val="-20"/>
                <w:szCs w:val="21"/>
              </w:rPr>
              <w:t>层级</w:t>
            </w:r>
          </w:p>
        </w:tc>
        <w:tc>
          <w:tcPr>
            <w:tcW w:w="930" w:type="dxa"/>
            <w:vMerge w:val="restart"/>
            <w:noWrap w:val="0"/>
            <w:vAlign w:val="center"/>
          </w:tcPr>
          <w:p>
            <w:pPr>
              <w:adjustRightInd w:val="0"/>
              <w:snapToGrid w:val="0"/>
              <w:jc w:val="center"/>
              <w:rPr>
                <w:rFonts w:hint="eastAsia" w:ascii="黑体" w:hAnsi="宋体" w:eastAsia="黑体"/>
                <w:bCs/>
                <w:spacing w:val="-20"/>
                <w:szCs w:val="21"/>
              </w:rPr>
            </w:pPr>
            <w:r>
              <w:rPr>
                <w:rFonts w:hint="eastAsia" w:ascii="黑体" w:hAnsi="宋体" w:eastAsia="黑体"/>
                <w:bCs/>
                <w:spacing w:val="-20"/>
                <w:szCs w:val="21"/>
              </w:rPr>
              <w:t>资产总额（万元）</w:t>
            </w:r>
          </w:p>
        </w:tc>
        <w:tc>
          <w:tcPr>
            <w:tcW w:w="780" w:type="dxa"/>
            <w:vMerge w:val="restart"/>
            <w:noWrap w:val="0"/>
            <w:vAlign w:val="center"/>
          </w:tcPr>
          <w:p>
            <w:pPr>
              <w:adjustRightInd w:val="0"/>
              <w:snapToGrid w:val="0"/>
              <w:jc w:val="center"/>
              <w:rPr>
                <w:rFonts w:hint="eastAsia" w:ascii="黑体" w:hAnsi="宋体" w:eastAsia="黑体"/>
                <w:bCs/>
                <w:spacing w:val="-20"/>
                <w:szCs w:val="21"/>
              </w:rPr>
            </w:pPr>
            <w:r>
              <w:rPr>
                <w:rFonts w:hint="eastAsia" w:ascii="黑体" w:hAnsi="宋体" w:eastAsia="黑体"/>
                <w:bCs/>
                <w:spacing w:val="-20"/>
                <w:szCs w:val="21"/>
              </w:rPr>
              <w:t>净资产（万元）</w:t>
            </w:r>
          </w:p>
        </w:tc>
        <w:tc>
          <w:tcPr>
            <w:tcW w:w="855" w:type="dxa"/>
            <w:vMerge w:val="restart"/>
            <w:noWrap w:val="0"/>
            <w:vAlign w:val="center"/>
          </w:tcPr>
          <w:p>
            <w:pPr>
              <w:adjustRightInd w:val="0"/>
              <w:snapToGrid w:val="0"/>
              <w:jc w:val="center"/>
              <w:rPr>
                <w:rFonts w:hint="eastAsia" w:ascii="黑体" w:hAnsi="宋体" w:eastAsia="黑体"/>
                <w:bCs/>
                <w:spacing w:val="-20"/>
                <w:szCs w:val="21"/>
              </w:rPr>
            </w:pPr>
            <w:r>
              <w:rPr>
                <w:rFonts w:hint="eastAsia" w:ascii="黑体" w:hAnsi="宋体" w:eastAsia="黑体"/>
                <w:bCs/>
                <w:spacing w:val="-20"/>
                <w:szCs w:val="21"/>
              </w:rPr>
              <w:t>国有资产权益（万元）</w:t>
            </w:r>
          </w:p>
        </w:tc>
        <w:tc>
          <w:tcPr>
            <w:tcW w:w="780" w:type="dxa"/>
            <w:vMerge w:val="restart"/>
            <w:noWrap w:val="0"/>
            <w:vAlign w:val="center"/>
          </w:tcPr>
          <w:p>
            <w:pPr>
              <w:adjustRightInd w:val="0"/>
              <w:snapToGrid w:val="0"/>
              <w:jc w:val="center"/>
              <w:rPr>
                <w:rFonts w:ascii="黑体" w:hAnsi="宋体" w:eastAsia="黑体"/>
                <w:bCs/>
                <w:spacing w:val="-20"/>
                <w:szCs w:val="21"/>
              </w:rPr>
            </w:pPr>
            <w:r>
              <w:rPr>
                <w:rFonts w:hint="eastAsia" w:ascii="黑体" w:hAnsi="宋体" w:eastAsia="黑体"/>
                <w:bCs/>
                <w:spacing w:val="-20"/>
                <w:szCs w:val="21"/>
              </w:rPr>
              <w:t>在职职工人数</w:t>
            </w:r>
          </w:p>
          <w:p>
            <w:pPr>
              <w:adjustRightInd w:val="0"/>
              <w:snapToGrid w:val="0"/>
              <w:jc w:val="center"/>
              <w:rPr>
                <w:rFonts w:hint="eastAsia" w:ascii="黑体" w:hAnsi="宋体" w:eastAsia="黑体"/>
                <w:bCs/>
                <w:spacing w:val="-20"/>
                <w:szCs w:val="21"/>
              </w:rPr>
            </w:pPr>
            <w:r>
              <w:rPr>
                <w:rFonts w:hint="eastAsia" w:ascii="黑体" w:hAnsi="宋体" w:eastAsia="黑体"/>
                <w:bCs/>
                <w:spacing w:val="-20"/>
                <w:szCs w:val="21"/>
              </w:rPr>
              <w:t>（人）</w:t>
            </w:r>
          </w:p>
        </w:tc>
        <w:tc>
          <w:tcPr>
            <w:tcW w:w="851" w:type="dxa"/>
            <w:vMerge w:val="restart"/>
            <w:noWrap w:val="0"/>
            <w:vAlign w:val="center"/>
          </w:tcPr>
          <w:p>
            <w:pPr>
              <w:adjustRightInd w:val="0"/>
              <w:snapToGrid w:val="0"/>
              <w:jc w:val="center"/>
              <w:rPr>
                <w:rFonts w:hint="eastAsia" w:ascii="黑体" w:hAnsi="宋体" w:eastAsia="黑体"/>
                <w:bCs/>
                <w:spacing w:val="-20"/>
                <w:szCs w:val="21"/>
              </w:rPr>
            </w:pPr>
            <w:r>
              <w:rPr>
                <w:rFonts w:hint="eastAsia" w:ascii="黑体" w:hAnsi="宋体" w:eastAsia="黑体"/>
                <w:bCs/>
                <w:spacing w:val="-20"/>
                <w:szCs w:val="21"/>
              </w:rPr>
              <w:t>所在国家或地区（省、市）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trPr>
        <w:tc>
          <w:tcPr>
            <w:tcW w:w="2460" w:type="dxa"/>
            <w:vMerge w:val="continue"/>
            <w:noWrap w:val="0"/>
            <w:vAlign w:val="center"/>
          </w:tcPr>
          <w:p>
            <w:pPr>
              <w:adjustRightInd w:val="0"/>
              <w:snapToGrid w:val="0"/>
              <w:spacing w:line="360" w:lineRule="auto"/>
              <w:jc w:val="center"/>
              <w:rPr>
                <w:rFonts w:hint="eastAsia" w:ascii="黑体" w:hAnsi="宋体" w:eastAsia="黑体"/>
                <w:bCs/>
                <w:szCs w:val="21"/>
              </w:rPr>
            </w:pPr>
          </w:p>
        </w:tc>
        <w:tc>
          <w:tcPr>
            <w:tcW w:w="870" w:type="dxa"/>
            <w:noWrap w:val="0"/>
            <w:vAlign w:val="center"/>
          </w:tcPr>
          <w:p>
            <w:pPr>
              <w:adjustRightInd w:val="0"/>
              <w:snapToGrid w:val="0"/>
              <w:spacing w:line="360" w:lineRule="auto"/>
              <w:jc w:val="center"/>
              <w:rPr>
                <w:rFonts w:hint="eastAsia" w:ascii="黑体" w:hAnsi="宋体" w:eastAsia="黑体"/>
                <w:bCs/>
                <w:spacing w:val="-20"/>
                <w:szCs w:val="21"/>
              </w:rPr>
            </w:pPr>
            <w:r>
              <w:rPr>
                <w:rFonts w:hint="eastAsia" w:ascii="黑体" w:hAnsi="宋体" w:eastAsia="黑体"/>
                <w:bCs/>
                <w:spacing w:val="-20"/>
                <w:szCs w:val="21"/>
              </w:rPr>
              <w:t>属性</w:t>
            </w:r>
          </w:p>
        </w:tc>
        <w:tc>
          <w:tcPr>
            <w:tcW w:w="840" w:type="dxa"/>
            <w:noWrap w:val="0"/>
            <w:vAlign w:val="center"/>
          </w:tcPr>
          <w:p>
            <w:pPr>
              <w:adjustRightInd w:val="0"/>
              <w:snapToGrid w:val="0"/>
              <w:spacing w:line="360" w:lineRule="auto"/>
              <w:jc w:val="center"/>
              <w:rPr>
                <w:rFonts w:hint="eastAsia" w:ascii="黑体" w:hAnsi="宋体" w:eastAsia="黑体"/>
                <w:bCs/>
                <w:spacing w:val="-20"/>
                <w:szCs w:val="21"/>
              </w:rPr>
            </w:pPr>
            <w:r>
              <w:rPr>
                <w:rFonts w:hint="eastAsia" w:ascii="黑体" w:hAnsi="宋体" w:eastAsia="黑体"/>
                <w:bCs/>
                <w:spacing w:val="-20"/>
                <w:szCs w:val="21"/>
              </w:rPr>
              <w:t>比重（％）</w:t>
            </w:r>
          </w:p>
        </w:tc>
        <w:tc>
          <w:tcPr>
            <w:tcW w:w="630" w:type="dxa"/>
            <w:vMerge w:val="continue"/>
            <w:noWrap w:val="0"/>
            <w:vAlign w:val="center"/>
          </w:tcPr>
          <w:p>
            <w:pPr>
              <w:adjustRightInd w:val="0"/>
              <w:snapToGrid w:val="0"/>
              <w:spacing w:line="360" w:lineRule="auto"/>
              <w:jc w:val="center"/>
              <w:rPr>
                <w:rFonts w:hint="eastAsia" w:ascii="黑体" w:hAnsi="宋体" w:eastAsia="黑体"/>
                <w:bCs/>
                <w:spacing w:val="-20"/>
                <w:szCs w:val="21"/>
              </w:rPr>
            </w:pPr>
          </w:p>
        </w:tc>
        <w:tc>
          <w:tcPr>
            <w:tcW w:w="930" w:type="dxa"/>
            <w:vMerge w:val="continue"/>
            <w:noWrap w:val="0"/>
            <w:vAlign w:val="center"/>
          </w:tcPr>
          <w:p>
            <w:pPr>
              <w:adjustRightInd w:val="0"/>
              <w:snapToGrid w:val="0"/>
              <w:spacing w:line="360" w:lineRule="auto"/>
              <w:jc w:val="center"/>
              <w:rPr>
                <w:rFonts w:hint="eastAsia" w:ascii="黑体" w:hAnsi="宋体" w:eastAsia="黑体"/>
                <w:bCs/>
                <w:spacing w:val="-20"/>
                <w:szCs w:val="21"/>
              </w:rPr>
            </w:pPr>
          </w:p>
        </w:tc>
        <w:tc>
          <w:tcPr>
            <w:tcW w:w="780" w:type="dxa"/>
            <w:vMerge w:val="continue"/>
            <w:noWrap w:val="0"/>
            <w:vAlign w:val="center"/>
          </w:tcPr>
          <w:p>
            <w:pPr>
              <w:adjustRightInd w:val="0"/>
              <w:snapToGrid w:val="0"/>
              <w:spacing w:line="360" w:lineRule="auto"/>
              <w:jc w:val="center"/>
              <w:rPr>
                <w:rFonts w:hint="eastAsia" w:ascii="黑体" w:hAnsi="宋体" w:eastAsia="黑体"/>
                <w:bCs/>
                <w:spacing w:val="-20"/>
                <w:szCs w:val="21"/>
              </w:rPr>
            </w:pPr>
          </w:p>
        </w:tc>
        <w:tc>
          <w:tcPr>
            <w:tcW w:w="855" w:type="dxa"/>
            <w:vMerge w:val="continue"/>
            <w:noWrap w:val="0"/>
            <w:vAlign w:val="center"/>
          </w:tcPr>
          <w:p>
            <w:pPr>
              <w:adjustRightInd w:val="0"/>
              <w:snapToGrid w:val="0"/>
              <w:spacing w:line="360" w:lineRule="auto"/>
              <w:jc w:val="center"/>
              <w:rPr>
                <w:rFonts w:hint="eastAsia" w:ascii="黑体" w:hAnsi="宋体" w:eastAsia="黑体"/>
                <w:bCs/>
                <w:spacing w:val="-20"/>
                <w:szCs w:val="21"/>
              </w:rPr>
            </w:pPr>
          </w:p>
        </w:tc>
        <w:tc>
          <w:tcPr>
            <w:tcW w:w="780" w:type="dxa"/>
            <w:vMerge w:val="continue"/>
            <w:noWrap w:val="0"/>
            <w:vAlign w:val="center"/>
          </w:tcPr>
          <w:p>
            <w:pPr>
              <w:adjustRightInd w:val="0"/>
              <w:snapToGrid w:val="0"/>
              <w:spacing w:line="360" w:lineRule="auto"/>
              <w:jc w:val="center"/>
              <w:rPr>
                <w:rFonts w:hint="eastAsia" w:ascii="黑体" w:hAnsi="宋体" w:eastAsia="黑体"/>
                <w:bCs/>
                <w:spacing w:val="-20"/>
                <w:szCs w:val="21"/>
              </w:rPr>
            </w:pPr>
          </w:p>
        </w:tc>
        <w:tc>
          <w:tcPr>
            <w:tcW w:w="851" w:type="dxa"/>
            <w:vMerge w:val="continue"/>
            <w:noWrap w:val="0"/>
            <w:vAlign w:val="center"/>
          </w:tcPr>
          <w:p>
            <w:pPr>
              <w:adjustRightInd w:val="0"/>
              <w:snapToGrid w:val="0"/>
              <w:spacing w:line="360" w:lineRule="auto"/>
              <w:jc w:val="center"/>
              <w:rPr>
                <w:rFonts w:hint="eastAsia" w:ascii="黑体" w:hAnsi="宋体" w:eastAsia="黑体"/>
                <w:bCs/>
                <w:spacing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0" w:type="dxa"/>
            <w:noWrap w:val="0"/>
            <w:vAlign w:val="center"/>
          </w:tcPr>
          <w:p>
            <w:pPr>
              <w:adjustRightInd w:val="0"/>
              <w:snapToGrid w:val="0"/>
              <w:spacing w:line="360" w:lineRule="auto"/>
              <w:jc w:val="left"/>
              <w:rPr>
                <w:rFonts w:hint="eastAsia" w:ascii="黑体" w:hAnsi="黑体" w:eastAsia="黑体" w:cs="黑体"/>
                <w:bCs/>
                <w:szCs w:val="21"/>
              </w:rPr>
            </w:pPr>
            <w:r>
              <w:rPr>
                <w:rFonts w:hint="eastAsia" w:ascii="黑体" w:hAnsi="黑体" w:eastAsia="黑体" w:cs="黑体"/>
                <w:kern w:val="0"/>
                <w:szCs w:val="21"/>
              </w:rPr>
              <w:t>济南鲁丰纸业有限公司</w:t>
            </w:r>
          </w:p>
        </w:tc>
        <w:tc>
          <w:tcPr>
            <w:tcW w:w="87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全资</w:t>
            </w:r>
          </w:p>
        </w:tc>
        <w:tc>
          <w:tcPr>
            <w:tcW w:w="84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100%</w:t>
            </w:r>
          </w:p>
        </w:tc>
        <w:tc>
          <w:tcPr>
            <w:tcW w:w="63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2</w:t>
            </w:r>
          </w:p>
        </w:tc>
        <w:tc>
          <w:tcPr>
            <w:tcW w:w="93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17158</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6</w:t>
            </w:r>
          </w:p>
        </w:tc>
        <w:tc>
          <w:tcPr>
            <w:tcW w:w="855"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6</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289</w:t>
            </w:r>
          </w:p>
        </w:tc>
        <w:tc>
          <w:tcPr>
            <w:tcW w:w="851"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济南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2460" w:type="dxa"/>
            <w:noWrap w:val="0"/>
            <w:vAlign w:val="center"/>
          </w:tcPr>
          <w:p>
            <w:pPr>
              <w:adjustRightInd w:val="0"/>
              <w:snapToGrid w:val="0"/>
              <w:spacing w:line="360" w:lineRule="auto"/>
              <w:jc w:val="left"/>
              <w:rPr>
                <w:rFonts w:hint="eastAsia" w:ascii="黑体" w:hAnsi="黑体" w:eastAsia="黑体" w:cs="黑体"/>
                <w:bCs/>
                <w:szCs w:val="21"/>
              </w:rPr>
            </w:pPr>
            <w:r>
              <w:rPr>
                <w:rFonts w:hint="eastAsia" w:ascii="黑体" w:hAnsi="黑体" w:eastAsia="黑体" w:cs="黑体"/>
                <w:kern w:val="0"/>
                <w:szCs w:val="21"/>
              </w:rPr>
              <w:t>济南晨光纸业有限公司</w:t>
            </w:r>
          </w:p>
        </w:tc>
        <w:tc>
          <w:tcPr>
            <w:tcW w:w="87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全资</w:t>
            </w:r>
          </w:p>
        </w:tc>
        <w:tc>
          <w:tcPr>
            <w:tcW w:w="84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100%</w:t>
            </w:r>
          </w:p>
        </w:tc>
        <w:tc>
          <w:tcPr>
            <w:tcW w:w="63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2</w:t>
            </w:r>
          </w:p>
        </w:tc>
        <w:tc>
          <w:tcPr>
            <w:tcW w:w="93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9090</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756</w:t>
            </w:r>
          </w:p>
        </w:tc>
        <w:tc>
          <w:tcPr>
            <w:tcW w:w="855"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756</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w:t>
            </w:r>
          </w:p>
        </w:tc>
        <w:tc>
          <w:tcPr>
            <w:tcW w:w="851"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济南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460" w:type="dxa"/>
            <w:noWrap w:val="0"/>
            <w:vAlign w:val="center"/>
          </w:tcPr>
          <w:p>
            <w:pPr>
              <w:adjustRightInd w:val="0"/>
              <w:snapToGrid w:val="0"/>
              <w:spacing w:line="360" w:lineRule="auto"/>
              <w:jc w:val="left"/>
              <w:rPr>
                <w:rFonts w:hint="eastAsia" w:ascii="黑体" w:hAnsi="黑体" w:eastAsia="黑体" w:cs="黑体"/>
                <w:bCs/>
                <w:szCs w:val="21"/>
              </w:rPr>
            </w:pPr>
            <w:r>
              <w:rPr>
                <w:rFonts w:hint="eastAsia" w:ascii="黑体" w:hAnsi="黑体" w:eastAsia="黑体" w:cs="黑体"/>
                <w:kern w:val="0"/>
                <w:szCs w:val="21"/>
              </w:rPr>
              <w:t>济南金至纸业有限公司</w:t>
            </w:r>
          </w:p>
        </w:tc>
        <w:tc>
          <w:tcPr>
            <w:tcW w:w="87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全资</w:t>
            </w:r>
          </w:p>
        </w:tc>
        <w:tc>
          <w:tcPr>
            <w:tcW w:w="84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100%</w:t>
            </w:r>
          </w:p>
        </w:tc>
        <w:tc>
          <w:tcPr>
            <w:tcW w:w="63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2</w:t>
            </w:r>
          </w:p>
        </w:tc>
        <w:tc>
          <w:tcPr>
            <w:tcW w:w="93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10370</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400</w:t>
            </w:r>
          </w:p>
        </w:tc>
        <w:tc>
          <w:tcPr>
            <w:tcW w:w="855"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400</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64</w:t>
            </w:r>
          </w:p>
        </w:tc>
        <w:tc>
          <w:tcPr>
            <w:tcW w:w="851"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济南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2460" w:type="dxa"/>
            <w:noWrap w:val="0"/>
            <w:vAlign w:val="bottom"/>
          </w:tcPr>
          <w:p>
            <w:pPr>
              <w:adjustRightInd w:val="0"/>
              <w:snapToGrid w:val="0"/>
              <w:jc w:val="left"/>
              <w:rPr>
                <w:rFonts w:hint="eastAsia" w:ascii="黑体" w:hAnsi="黑体" w:eastAsia="黑体" w:cs="黑体"/>
                <w:bCs/>
                <w:szCs w:val="21"/>
              </w:rPr>
            </w:pPr>
            <w:r>
              <w:rPr>
                <w:rFonts w:hint="eastAsia" w:ascii="黑体" w:hAnsi="黑体" w:eastAsia="黑体" w:cs="黑体"/>
                <w:kern w:val="0"/>
                <w:szCs w:val="21"/>
              </w:rPr>
              <w:t>济南欣易特种纸业有限公司</w:t>
            </w:r>
          </w:p>
        </w:tc>
        <w:tc>
          <w:tcPr>
            <w:tcW w:w="87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全资</w:t>
            </w:r>
          </w:p>
        </w:tc>
        <w:tc>
          <w:tcPr>
            <w:tcW w:w="84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100%</w:t>
            </w:r>
          </w:p>
        </w:tc>
        <w:tc>
          <w:tcPr>
            <w:tcW w:w="63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2</w:t>
            </w:r>
          </w:p>
        </w:tc>
        <w:tc>
          <w:tcPr>
            <w:tcW w:w="93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32521</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8324</w:t>
            </w:r>
          </w:p>
        </w:tc>
        <w:tc>
          <w:tcPr>
            <w:tcW w:w="855"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8324</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41</w:t>
            </w:r>
          </w:p>
        </w:tc>
        <w:tc>
          <w:tcPr>
            <w:tcW w:w="851"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济南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2460" w:type="dxa"/>
            <w:noWrap w:val="0"/>
            <w:vAlign w:val="bottom"/>
          </w:tcPr>
          <w:p>
            <w:pPr>
              <w:adjustRightInd w:val="0"/>
              <w:snapToGrid w:val="0"/>
              <w:spacing w:line="360" w:lineRule="auto"/>
              <w:jc w:val="left"/>
              <w:rPr>
                <w:rFonts w:hint="eastAsia" w:ascii="黑体" w:hAnsi="黑体" w:eastAsia="黑体" w:cs="黑体"/>
                <w:bCs/>
                <w:szCs w:val="21"/>
              </w:rPr>
            </w:pPr>
            <w:r>
              <w:rPr>
                <w:rFonts w:hint="eastAsia" w:ascii="黑体" w:hAnsi="黑体" w:eastAsia="黑体" w:cs="黑体"/>
                <w:kern w:val="0"/>
                <w:szCs w:val="21"/>
              </w:rPr>
              <w:t>济南晨安商贸有限公司</w:t>
            </w:r>
          </w:p>
        </w:tc>
        <w:tc>
          <w:tcPr>
            <w:tcW w:w="87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全资</w:t>
            </w:r>
          </w:p>
        </w:tc>
        <w:tc>
          <w:tcPr>
            <w:tcW w:w="84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100%</w:t>
            </w:r>
          </w:p>
        </w:tc>
        <w:tc>
          <w:tcPr>
            <w:tcW w:w="63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3</w:t>
            </w:r>
          </w:p>
        </w:tc>
        <w:tc>
          <w:tcPr>
            <w:tcW w:w="93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5943</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2079</w:t>
            </w:r>
          </w:p>
        </w:tc>
        <w:tc>
          <w:tcPr>
            <w:tcW w:w="855"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2079</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168</w:t>
            </w:r>
          </w:p>
        </w:tc>
        <w:tc>
          <w:tcPr>
            <w:tcW w:w="851"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济南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2460" w:type="dxa"/>
            <w:noWrap w:val="0"/>
            <w:vAlign w:val="bottom"/>
          </w:tcPr>
          <w:p>
            <w:pPr>
              <w:adjustRightInd w:val="0"/>
              <w:snapToGrid w:val="0"/>
              <w:jc w:val="left"/>
              <w:rPr>
                <w:rFonts w:hint="eastAsia" w:ascii="黑体" w:hAnsi="黑体" w:eastAsia="黑体" w:cs="黑体"/>
                <w:bCs/>
                <w:szCs w:val="21"/>
              </w:rPr>
            </w:pPr>
            <w:r>
              <w:rPr>
                <w:rFonts w:hint="eastAsia" w:ascii="黑体" w:hAnsi="黑体" w:eastAsia="黑体" w:cs="黑体"/>
                <w:kern w:val="0"/>
                <w:szCs w:val="21"/>
              </w:rPr>
              <w:t>济南晨光空港实业有限公司</w:t>
            </w:r>
          </w:p>
        </w:tc>
        <w:tc>
          <w:tcPr>
            <w:tcW w:w="87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全资</w:t>
            </w:r>
          </w:p>
        </w:tc>
        <w:tc>
          <w:tcPr>
            <w:tcW w:w="84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100%</w:t>
            </w:r>
          </w:p>
        </w:tc>
        <w:tc>
          <w:tcPr>
            <w:tcW w:w="63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3</w:t>
            </w:r>
          </w:p>
        </w:tc>
        <w:tc>
          <w:tcPr>
            <w:tcW w:w="93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3889</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1807</w:t>
            </w:r>
          </w:p>
        </w:tc>
        <w:tc>
          <w:tcPr>
            <w:tcW w:w="855"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1807</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75</w:t>
            </w:r>
          </w:p>
        </w:tc>
        <w:tc>
          <w:tcPr>
            <w:tcW w:w="851"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济南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60" w:type="dxa"/>
            <w:noWrap w:val="0"/>
            <w:vAlign w:val="top"/>
          </w:tcPr>
          <w:p>
            <w:pPr>
              <w:adjustRightInd w:val="0"/>
              <w:snapToGrid w:val="0"/>
              <w:rPr>
                <w:rFonts w:hint="eastAsia" w:ascii="黑体" w:hAnsi="黑体" w:eastAsia="黑体" w:cs="黑体"/>
                <w:bCs/>
                <w:szCs w:val="21"/>
              </w:rPr>
            </w:pPr>
            <w:r>
              <w:rPr>
                <w:rFonts w:hint="eastAsia" w:ascii="黑体" w:hAnsi="黑体" w:eastAsia="黑体" w:cs="黑体"/>
                <w:kern w:val="0"/>
                <w:szCs w:val="21"/>
              </w:rPr>
              <w:t>山东润诚特种纸业有限公司</w:t>
            </w:r>
          </w:p>
        </w:tc>
        <w:tc>
          <w:tcPr>
            <w:tcW w:w="87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全资</w:t>
            </w:r>
          </w:p>
        </w:tc>
        <w:tc>
          <w:tcPr>
            <w:tcW w:w="84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100%</w:t>
            </w:r>
          </w:p>
        </w:tc>
        <w:tc>
          <w:tcPr>
            <w:tcW w:w="630" w:type="dxa"/>
            <w:noWrap w:val="0"/>
            <w:vAlign w:val="center"/>
          </w:tcPr>
          <w:p>
            <w:pPr>
              <w:adjustRightInd w:val="0"/>
              <w:snapToGrid w:val="0"/>
              <w:spacing w:line="360" w:lineRule="auto"/>
              <w:jc w:val="center"/>
              <w:rPr>
                <w:rFonts w:hint="eastAsia" w:ascii="黑体" w:hAnsi="黑体" w:eastAsia="黑体" w:cs="黑体"/>
                <w:bCs/>
                <w:szCs w:val="21"/>
              </w:rPr>
            </w:pPr>
            <w:r>
              <w:rPr>
                <w:rFonts w:hint="eastAsia" w:ascii="黑体" w:hAnsi="黑体" w:eastAsia="黑体" w:cs="黑体"/>
                <w:bCs/>
                <w:szCs w:val="21"/>
              </w:rPr>
              <w:t>3</w:t>
            </w:r>
          </w:p>
        </w:tc>
        <w:tc>
          <w:tcPr>
            <w:tcW w:w="93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21874</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5499</w:t>
            </w:r>
          </w:p>
        </w:tc>
        <w:tc>
          <w:tcPr>
            <w:tcW w:w="855"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5499</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124</w:t>
            </w:r>
          </w:p>
        </w:tc>
        <w:tc>
          <w:tcPr>
            <w:tcW w:w="851"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德州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2460" w:type="dxa"/>
            <w:noWrap w:val="0"/>
            <w:vAlign w:val="bottom"/>
          </w:tcPr>
          <w:p>
            <w:pPr>
              <w:adjustRightInd w:val="0"/>
              <w:snapToGrid w:val="0"/>
              <w:spacing w:line="360" w:lineRule="auto"/>
              <w:jc w:val="left"/>
              <w:rPr>
                <w:rFonts w:ascii="黑体" w:hAnsi="黑体" w:eastAsia="黑体" w:cs="黑体"/>
                <w:kern w:val="0"/>
                <w:szCs w:val="21"/>
                <w:lang w:bidi="ar"/>
              </w:rPr>
            </w:pPr>
            <w:r>
              <w:rPr>
                <w:rFonts w:hint="eastAsia" w:ascii="黑体" w:hAnsi="黑体" w:eastAsia="黑体" w:cs="黑体"/>
                <w:kern w:val="0"/>
                <w:szCs w:val="21"/>
              </w:rPr>
              <w:t>总  计</w:t>
            </w:r>
          </w:p>
        </w:tc>
        <w:tc>
          <w:tcPr>
            <w:tcW w:w="870" w:type="dxa"/>
            <w:noWrap w:val="0"/>
            <w:vAlign w:val="center"/>
          </w:tcPr>
          <w:p>
            <w:pPr>
              <w:adjustRightInd w:val="0"/>
              <w:snapToGrid w:val="0"/>
              <w:spacing w:line="360" w:lineRule="auto"/>
              <w:jc w:val="center"/>
              <w:rPr>
                <w:rFonts w:hint="eastAsia" w:ascii="黑体" w:hAnsi="黑体" w:eastAsia="黑体" w:cs="黑体"/>
                <w:bCs/>
                <w:szCs w:val="21"/>
              </w:rPr>
            </w:pPr>
          </w:p>
        </w:tc>
        <w:tc>
          <w:tcPr>
            <w:tcW w:w="840" w:type="dxa"/>
            <w:noWrap w:val="0"/>
            <w:vAlign w:val="center"/>
          </w:tcPr>
          <w:p>
            <w:pPr>
              <w:adjustRightInd w:val="0"/>
              <w:snapToGrid w:val="0"/>
              <w:spacing w:line="360" w:lineRule="auto"/>
              <w:jc w:val="center"/>
              <w:rPr>
                <w:rFonts w:hint="eastAsia" w:ascii="黑体" w:hAnsi="黑体" w:eastAsia="黑体" w:cs="黑体"/>
                <w:bCs/>
                <w:szCs w:val="21"/>
              </w:rPr>
            </w:pPr>
          </w:p>
        </w:tc>
        <w:tc>
          <w:tcPr>
            <w:tcW w:w="630" w:type="dxa"/>
            <w:noWrap w:val="0"/>
            <w:vAlign w:val="center"/>
          </w:tcPr>
          <w:p>
            <w:pPr>
              <w:adjustRightInd w:val="0"/>
              <w:snapToGrid w:val="0"/>
              <w:spacing w:line="360" w:lineRule="auto"/>
              <w:jc w:val="center"/>
              <w:rPr>
                <w:rFonts w:hint="eastAsia" w:ascii="黑体" w:hAnsi="黑体" w:eastAsia="黑体" w:cs="黑体"/>
                <w:bCs/>
                <w:szCs w:val="21"/>
              </w:rPr>
            </w:pPr>
          </w:p>
        </w:tc>
        <w:tc>
          <w:tcPr>
            <w:tcW w:w="93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100845</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18871</w:t>
            </w:r>
          </w:p>
        </w:tc>
        <w:tc>
          <w:tcPr>
            <w:tcW w:w="855"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18871</w:t>
            </w:r>
          </w:p>
        </w:tc>
        <w:tc>
          <w:tcPr>
            <w:tcW w:w="780" w:type="dxa"/>
            <w:noWrap w:val="0"/>
            <w:vAlign w:val="center"/>
          </w:tcPr>
          <w:p>
            <w:pPr>
              <w:adjustRightInd w:val="0"/>
              <w:snapToGrid w:val="0"/>
              <w:spacing w:line="360" w:lineRule="auto"/>
              <w:jc w:val="center"/>
              <w:rPr>
                <w:rFonts w:ascii="黑体" w:hAnsi="黑体" w:eastAsia="黑体" w:cs="黑体"/>
                <w:bCs/>
                <w:szCs w:val="21"/>
              </w:rPr>
            </w:pPr>
            <w:r>
              <w:rPr>
                <w:rFonts w:hint="eastAsia" w:ascii="黑体" w:hAnsi="黑体" w:eastAsia="黑体" w:cs="黑体"/>
                <w:bCs/>
                <w:szCs w:val="21"/>
              </w:rPr>
              <w:t>761</w:t>
            </w:r>
          </w:p>
        </w:tc>
        <w:tc>
          <w:tcPr>
            <w:tcW w:w="851" w:type="dxa"/>
            <w:noWrap w:val="0"/>
            <w:vAlign w:val="center"/>
          </w:tcPr>
          <w:p>
            <w:pPr>
              <w:adjustRightInd w:val="0"/>
              <w:snapToGrid w:val="0"/>
              <w:spacing w:line="360" w:lineRule="auto"/>
              <w:jc w:val="center"/>
              <w:rPr>
                <w:rFonts w:hint="eastAsia" w:ascii="黑体" w:hAnsi="黑体" w:eastAsia="黑体" w:cs="黑体"/>
                <w:bCs/>
                <w:szCs w:val="21"/>
              </w:rPr>
            </w:pPr>
          </w:p>
        </w:tc>
      </w:tr>
    </w:tbl>
    <w:p>
      <w:pPr>
        <w:adjustRightInd w:val="0"/>
        <w:snapToGrid w:val="0"/>
        <w:spacing w:line="400" w:lineRule="exact"/>
        <w:ind w:firstLine="320" w:firstLineChars="100"/>
        <w:rPr>
          <w:sz w:val="32"/>
          <w:szCs w:val="32"/>
        </w:rPr>
      </w:pPr>
    </w:p>
    <w:p>
      <w:pPr>
        <w:adjustRightInd w:val="0"/>
        <w:snapToGrid w:val="0"/>
        <w:spacing w:line="360" w:lineRule="auto"/>
        <w:ind w:firstLine="210" w:firstLineChars="100"/>
        <w:rPr>
          <w:rFonts w:hint="eastAsia" w:ascii="仿宋_GB2312" w:hAnsi="仿宋" w:eastAsia="仿宋_GB2312" w:cs="仿宋"/>
          <w:spacing w:val="8"/>
          <w:sz w:val="32"/>
          <w:szCs w:val="32"/>
          <w:shd w:val="clear" w:color="auto" w:fill="FFFFFF"/>
        </w:rPr>
      </w:pPr>
      <w:r>
        <w:rPr>
          <w:rFonts w:hint="eastAsia"/>
          <w:color w:val="auto"/>
          <w:szCs w:val="21"/>
        </w:rPr>
        <w:t>注：产权状况属性指企业（公司）属全资、控股（绝对控股、相对控股）或参股</w:t>
      </w:r>
    </w:p>
    <w:p>
      <w:pPr>
        <w:spacing w:line="400" w:lineRule="exact"/>
        <w:ind w:firstLine="672" w:firstLineChars="200"/>
        <w:rPr>
          <w:rFonts w:ascii="仿宋_GB2312" w:hAnsi="宋体" w:eastAsia="仿宋_GB2312"/>
          <w:sz w:val="32"/>
          <w:szCs w:val="32"/>
        </w:rPr>
      </w:pPr>
      <w:r>
        <w:rPr>
          <w:rFonts w:hint="eastAsia" w:ascii="仿宋_GB2312" w:hAnsi="仿宋" w:eastAsia="仿宋_GB2312" w:cs="仿宋"/>
          <w:spacing w:val="8"/>
          <w:sz w:val="32"/>
          <w:szCs w:val="32"/>
          <w:shd w:val="clear" w:color="auto" w:fill="FFFFFF"/>
        </w:rPr>
        <w:t>（</w:t>
      </w:r>
      <w:r>
        <w:rPr>
          <w:rFonts w:hint="eastAsia" w:ascii="仿宋_GB2312" w:hAnsi="仿宋" w:eastAsia="仿宋_GB2312" w:cs="仿宋"/>
          <w:spacing w:val="8"/>
          <w:sz w:val="32"/>
          <w:szCs w:val="32"/>
          <w:shd w:val="clear" w:color="auto" w:fill="FFFFFF"/>
          <w:lang w:val="en-US" w:eastAsia="zh-CN"/>
        </w:rPr>
        <w:t>5</w:t>
      </w:r>
      <w:r>
        <w:rPr>
          <w:rFonts w:hint="eastAsia" w:ascii="仿宋_GB2312" w:hAnsi="仿宋" w:eastAsia="仿宋_GB2312" w:cs="仿宋"/>
          <w:spacing w:val="8"/>
          <w:sz w:val="32"/>
          <w:szCs w:val="32"/>
          <w:shd w:val="clear" w:color="auto" w:fill="FFFFFF"/>
        </w:rPr>
        <w:t>）主要经济指标。</w:t>
      </w:r>
    </w:p>
    <w:p>
      <w:pPr>
        <w:adjustRightInd w:val="0"/>
        <w:snapToGrid w:val="0"/>
        <w:spacing w:line="400" w:lineRule="exact"/>
        <w:ind w:firstLine="640" w:firstLineChars="200"/>
        <w:rPr>
          <w:rFonts w:hint="eastAsia" w:ascii="仿宋" w:hAnsi="仿宋" w:eastAsia="仿宋" w:cs="仿宋"/>
          <w:sz w:val="32"/>
          <w:szCs w:val="32"/>
        </w:rPr>
      </w:pPr>
    </w:p>
    <w:p>
      <w:pPr>
        <w:adjustRightInd w:val="0"/>
        <w:snapToGrid w:val="0"/>
        <w:spacing w:line="400" w:lineRule="exact"/>
        <w:ind w:firstLine="643" w:firstLineChars="200"/>
        <w:rPr>
          <w:rFonts w:ascii="仿宋" w:hAnsi="仿宋" w:eastAsia="仿宋" w:cs="仿宋"/>
          <w:b/>
          <w:sz w:val="32"/>
          <w:szCs w:val="32"/>
        </w:rPr>
      </w:pPr>
      <w:r>
        <w:rPr>
          <w:rFonts w:hint="eastAsia" w:ascii="仿宋" w:hAnsi="仿宋" w:eastAsia="仿宋" w:cs="仿宋"/>
          <w:b/>
          <w:sz w:val="32"/>
          <w:szCs w:val="32"/>
        </w:rPr>
        <w:t>表1-2             主要财务数据</w:t>
      </w:r>
    </w:p>
    <w:p>
      <w:pPr>
        <w:adjustRightInd w:val="0"/>
        <w:snapToGrid w:val="0"/>
        <w:spacing w:line="400" w:lineRule="exact"/>
        <w:jc w:val="center"/>
        <w:rPr>
          <w:rFonts w:ascii="宋体" w:hAnsi="宋体"/>
          <w:sz w:val="32"/>
          <w:szCs w:val="32"/>
        </w:rPr>
      </w:pPr>
    </w:p>
    <w:tbl>
      <w:tblPr>
        <w:tblStyle w:val="8"/>
        <w:tblW w:w="7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
        <w:gridCol w:w="2160"/>
        <w:gridCol w:w="1606"/>
        <w:gridCol w:w="1380"/>
        <w:gridCol w:w="1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2754" w:type="dxa"/>
            <w:gridSpan w:val="2"/>
            <w:noWrap w:val="0"/>
            <w:vAlign w:val="center"/>
          </w:tcPr>
          <w:p>
            <w:pPr>
              <w:pStyle w:val="3"/>
              <w:snapToGrid w:val="0"/>
              <w:spacing w:line="240" w:lineRule="auto"/>
              <w:ind w:firstLine="0" w:firstLineChars="0"/>
              <w:jc w:val="center"/>
              <w:rPr>
                <w:rFonts w:hint="eastAsia" w:ascii="黑体" w:hAnsi="宋体" w:eastAsia="黑体"/>
                <w:sz w:val="21"/>
                <w:szCs w:val="21"/>
              </w:rPr>
            </w:pPr>
            <w:r>
              <w:rPr>
                <w:rFonts w:hint="eastAsia" w:ascii="黑体" w:hAnsi="宋体" w:eastAsia="黑体"/>
                <w:sz w:val="21"/>
                <w:szCs w:val="21"/>
              </w:rPr>
              <w:t>年   度</w:t>
            </w:r>
          </w:p>
        </w:tc>
        <w:tc>
          <w:tcPr>
            <w:tcW w:w="1606" w:type="dxa"/>
            <w:noWrap w:val="0"/>
            <w:vAlign w:val="center"/>
          </w:tcPr>
          <w:p>
            <w:pPr>
              <w:pStyle w:val="3"/>
              <w:snapToGrid w:val="0"/>
              <w:spacing w:line="240" w:lineRule="auto"/>
              <w:ind w:firstLine="0" w:firstLineChars="0"/>
              <w:jc w:val="center"/>
              <w:rPr>
                <w:rFonts w:ascii="黑体" w:hAnsi="宋体" w:eastAsia="黑体" w:cs="Tahoma"/>
                <w:sz w:val="21"/>
                <w:szCs w:val="21"/>
              </w:rPr>
            </w:pPr>
            <w:r>
              <w:rPr>
                <w:rFonts w:hint="eastAsia" w:ascii="黑体" w:hAnsi="宋体" w:eastAsia="黑体" w:cs="Tahoma"/>
                <w:sz w:val="21"/>
                <w:szCs w:val="21"/>
              </w:rPr>
              <w:t>2018年</w:t>
            </w:r>
          </w:p>
        </w:tc>
        <w:tc>
          <w:tcPr>
            <w:tcW w:w="1380" w:type="dxa"/>
            <w:noWrap w:val="0"/>
            <w:vAlign w:val="center"/>
          </w:tcPr>
          <w:p>
            <w:pPr>
              <w:pStyle w:val="3"/>
              <w:snapToGrid w:val="0"/>
              <w:spacing w:line="240" w:lineRule="auto"/>
              <w:ind w:firstLine="0" w:firstLineChars="0"/>
              <w:jc w:val="center"/>
              <w:rPr>
                <w:rFonts w:hint="eastAsia" w:ascii="黑体" w:hAnsi="宋体" w:eastAsia="黑体" w:cs="Tahoma"/>
                <w:sz w:val="21"/>
                <w:szCs w:val="21"/>
              </w:rPr>
            </w:pPr>
            <w:r>
              <w:rPr>
                <w:rFonts w:hint="eastAsia" w:ascii="黑体" w:hAnsi="宋体" w:eastAsia="黑体" w:cs="Tahoma"/>
                <w:sz w:val="21"/>
                <w:szCs w:val="21"/>
              </w:rPr>
              <w:t>2019年</w:t>
            </w:r>
          </w:p>
        </w:tc>
        <w:tc>
          <w:tcPr>
            <w:tcW w:w="1515" w:type="dxa"/>
            <w:noWrap w:val="0"/>
            <w:vAlign w:val="center"/>
          </w:tcPr>
          <w:p>
            <w:pPr>
              <w:pStyle w:val="3"/>
              <w:snapToGrid w:val="0"/>
              <w:spacing w:line="240" w:lineRule="auto"/>
              <w:ind w:firstLine="0" w:firstLineChars="0"/>
              <w:jc w:val="center"/>
              <w:rPr>
                <w:rFonts w:hint="eastAsia" w:ascii="黑体" w:hAnsi="宋体" w:eastAsia="黑体" w:cs="Tahoma"/>
                <w:sz w:val="21"/>
                <w:szCs w:val="21"/>
              </w:rPr>
            </w:pPr>
            <w:r>
              <w:rPr>
                <w:rFonts w:hint="eastAsia" w:ascii="黑体" w:hAnsi="宋体" w:eastAsia="黑体" w:cs="Tahoma"/>
                <w:sz w:val="21"/>
                <w:szCs w:val="21"/>
              </w:rPr>
              <w:t>2020年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营业收入（万元）</w:t>
            </w:r>
          </w:p>
        </w:tc>
        <w:tc>
          <w:tcPr>
            <w:tcW w:w="1606" w:type="dxa"/>
            <w:noWrap w:val="0"/>
            <w:vAlign w:val="center"/>
          </w:tcPr>
          <w:p>
            <w:pPr>
              <w:pStyle w:val="3"/>
              <w:snapToGrid w:val="0"/>
              <w:spacing w:line="240" w:lineRule="auto"/>
              <w:ind w:firstLine="0" w:firstLineChars="0"/>
              <w:jc w:val="center"/>
              <w:rPr>
                <w:rFonts w:ascii="宋体" w:hAnsi="宋体" w:cs="Tahoma"/>
                <w:sz w:val="21"/>
                <w:szCs w:val="21"/>
              </w:rPr>
            </w:pPr>
            <w:r>
              <w:rPr>
                <w:rFonts w:hint="eastAsia" w:ascii="黑体" w:hAnsi="黑体" w:eastAsia="黑体" w:cs="黑体"/>
                <w:sz w:val="21"/>
                <w:szCs w:val="21"/>
              </w:rPr>
              <w:t>27352</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28498</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29954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利润总额（万元）</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668</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952</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1939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2754" w:type="dxa"/>
            <w:gridSpan w:val="2"/>
            <w:tcBorders>
              <w:bottom w:val="single" w:color="auto" w:sz="4" w:space="0"/>
            </w:tcBorders>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净利润（万元）</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437</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679</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1911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2754" w:type="dxa"/>
            <w:gridSpan w:val="2"/>
            <w:tcBorders>
              <w:top w:val="single" w:color="auto" w:sz="4" w:space="0"/>
              <w:left w:val="single" w:color="auto" w:sz="4" w:space="0"/>
              <w:bottom w:val="nil"/>
              <w:right w:val="single" w:color="auto" w:sz="4" w:space="0"/>
            </w:tcBorders>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资产总额（万元）</w:t>
            </w:r>
          </w:p>
        </w:tc>
        <w:tc>
          <w:tcPr>
            <w:tcW w:w="1606" w:type="dxa"/>
            <w:tcBorders>
              <w:left w:val="single" w:color="auto" w:sz="4" w:space="0"/>
            </w:tcBorders>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102717</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108900</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103300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94" w:type="dxa"/>
            <w:tcBorders>
              <w:top w:val="nil"/>
              <w:left w:val="single" w:color="auto" w:sz="4" w:space="0"/>
              <w:bottom w:val="single" w:color="auto" w:sz="4" w:space="0"/>
              <w:right w:val="single" w:color="auto" w:sz="4" w:space="0"/>
            </w:tcBorders>
            <w:noWrap w:val="0"/>
            <w:vAlign w:val="center"/>
          </w:tcPr>
          <w:p>
            <w:pPr>
              <w:pStyle w:val="3"/>
              <w:snapToGrid w:val="0"/>
              <w:spacing w:line="240" w:lineRule="auto"/>
              <w:ind w:firstLine="0" w:firstLineChars="0"/>
              <w:jc w:val="both"/>
              <w:rPr>
                <w:rFonts w:hint="eastAsia" w:ascii="黑体" w:hAnsi="宋体" w:eastAsia="黑体"/>
                <w:sz w:val="21"/>
                <w:szCs w:val="21"/>
              </w:rPr>
            </w:pPr>
          </w:p>
        </w:tc>
        <w:tc>
          <w:tcPr>
            <w:tcW w:w="2160" w:type="dxa"/>
            <w:tcBorders>
              <w:top w:val="single" w:color="auto" w:sz="4" w:space="0"/>
              <w:left w:val="single" w:color="auto" w:sz="4" w:space="0"/>
              <w:bottom w:val="single" w:color="auto" w:sz="4" w:space="0"/>
              <w:right w:val="single" w:color="auto" w:sz="4" w:space="0"/>
            </w:tcBorders>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国有资产总量（万元）</w:t>
            </w:r>
          </w:p>
        </w:tc>
        <w:tc>
          <w:tcPr>
            <w:tcW w:w="1606" w:type="dxa"/>
            <w:tcBorders>
              <w:left w:val="single" w:color="auto" w:sz="4" w:space="0"/>
            </w:tcBorders>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9669</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10305</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负债总额（万元）</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93048</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98595</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92273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所有者权益（万元）</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9669</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10305</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11027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成本费用总额（万元）</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26734</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27454</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27665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人工成本（万元）</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4940</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6197</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6600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在岗职工（人）</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388</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449</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净资产收益率（％）</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1.16%</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1.70%</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17.92%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总资产报酬率（％）</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0.16%</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0.22%</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2754" w:type="dxa"/>
            <w:gridSpan w:val="2"/>
            <w:tcBorders>
              <w:bottom w:val="single" w:color="auto" w:sz="4" w:space="0"/>
            </w:tcBorders>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国有资产保值增值率（％）</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104%</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106.57%</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107.1%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2754" w:type="dxa"/>
            <w:gridSpan w:val="2"/>
            <w:noWrap w:val="0"/>
            <w:vAlign w:val="center"/>
          </w:tcPr>
          <w:p>
            <w:pPr>
              <w:pStyle w:val="3"/>
              <w:snapToGrid w:val="0"/>
              <w:spacing w:line="240" w:lineRule="auto"/>
              <w:ind w:firstLine="0" w:firstLineChars="0"/>
              <w:jc w:val="both"/>
              <w:rPr>
                <w:rFonts w:hint="eastAsia" w:ascii="黑体" w:hAnsi="宋体" w:eastAsia="黑体"/>
                <w:sz w:val="21"/>
                <w:szCs w:val="21"/>
              </w:rPr>
            </w:pPr>
            <w:r>
              <w:rPr>
                <w:rFonts w:hint="eastAsia" w:ascii="黑体" w:hAnsi="宋体" w:eastAsia="黑体"/>
                <w:sz w:val="21"/>
                <w:szCs w:val="21"/>
              </w:rPr>
              <w:t>年度科技支出总额（万元）</w:t>
            </w:r>
          </w:p>
        </w:tc>
        <w:tc>
          <w:tcPr>
            <w:tcW w:w="1606"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360</w:t>
            </w:r>
          </w:p>
        </w:tc>
        <w:tc>
          <w:tcPr>
            <w:tcW w:w="1380"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144</w:t>
            </w:r>
          </w:p>
        </w:tc>
        <w:tc>
          <w:tcPr>
            <w:tcW w:w="1515" w:type="dxa"/>
            <w:noWrap w:val="0"/>
            <w:vAlign w:val="center"/>
          </w:tcPr>
          <w:p>
            <w:pPr>
              <w:pStyle w:val="3"/>
              <w:snapToGrid w:val="0"/>
              <w:spacing w:line="240" w:lineRule="auto"/>
              <w:ind w:firstLine="0" w:firstLineChars="0"/>
              <w:jc w:val="center"/>
              <w:rPr>
                <w:rFonts w:ascii="黑体" w:hAnsi="黑体" w:eastAsia="黑体" w:cs="黑体"/>
                <w:sz w:val="21"/>
                <w:szCs w:val="21"/>
              </w:rPr>
            </w:pPr>
            <w:r>
              <w:rPr>
                <w:rFonts w:hint="eastAsia" w:ascii="黑体" w:hAnsi="黑体" w:eastAsia="黑体" w:cs="黑体"/>
                <w:sz w:val="21"/>
                <w:szCs w:val="21"/>
              </w:rPr>
              <w:t>75</w:t>
            </w:r>
          </w:p>
        </w:tc>
      </w:tr>
    </w:tbl>
    <w:p>
      <w:pPr>
        <w:numPr>
          <w:ilvl w:val="0"/>
          <w:numId w:val="0"/>
        </w:numPr>
        <w:spacing w:line="400" w:lineRule="exact"/>
        <w:rPr>
          <w:rFonts w:hint="eastAsia" w:ascii="仿宋" w:hAnsi="仿宋" w:eastAsia="仿宋" w:cs="仿宋"/>
          <w:spacing w:val="8"/>
          <w:sz w:val="32"/>
          <w:szCs w:val="32"/>
          <w:shd w:val="clear" w:color="auto" w:fill="FFFFFF"/>
          <w:lang w:eastAsia="zh-CN"/>
        </w:rPr>
      </w:pPr>
    </w:p>
    <w:p>
      <w:pPr>
        <w:numPr>
          <w:ilvl w:val="0"/>
          <w:numId w:val="0"/>
        </w:numPr>
        <w:spacing w:line="400" w:lineRule="exact"/>
        <w:ind w:leftChars="200" w:firstLine="336" w:firstLineChars="100"/>
        <w:rPr>
          <w:rFonts w:hint="eastAsia" w:ascii="仿宋" w:hAnsi="仿宋" w:eastAsia="仿宋" w:cs="仿宋"/>
          <w:spacing w:val="8"/>
          <w:sz w:val="32"/>
          <w:szCs w:val="32"/>
          <w:shd w:val="clear" w:color="auto" w:fill="FFFFFF"/>
        </w:rPr>
      </w:pPr>
      <w:r>
        <w:rPr>
          <w:rFonts w:hint="eastAsia" w:ascii="仿宋" w:hAnsi="仿宋" w:eastAsia="仿宋" w:cs="仿宋"/>
          <w:spacing w:val="8"/>
          <w:sz w:val="32"/>
          <w:szCs w:val="32"/>
          <w:shd w:val="clear" w:color="auto" w:fill="FFFFFF"/>
          <w:lang w:eastAsia="zh-CN"/>
        </w:rPr>
        <w:t>（</w:t>
      </w:r>
      <w:r>
        <w:rPr>
          <w:rFonts w:hint="eastAsia" w:ascii="仿宋" w:hAnsi="仿宋" w:eastAsia="仿宋" w:cs="仿宋"/>
          <w:spacing w:val="8"/>
          <w:sz w:val="32"/>
          <w:szCs w:val="32"/>
          <w:shd w:val="clear" w:color="auto" w:fill="FFFFFF"/>
          <w:lang w:val="en-US" w:eastAsia="zh-CN"/>
        </w:rPr>
        <w:t>6</w:t>
      </w:r>
      <w:r>
        <w:rPr>
          <w:rFonts w:hint="eastAsia" w:ascii="仿宋" w:hAnsi="仿宋" w:eastAsia="仿宋" w:cs="仿宋"/>
          <w:spacing w:val="8"/>
          <w:sz w:val="32"/>
          <w:szCs w:val="32"/>
          <w:shd w:val="clear" w:color="auto" w:fill="FFFFFF"/>
          <w:lang w:eastAsia="zh-CN"/>
        </w:rPr>
        <w:t>）</w:t>
      </w:r>
      <w:r>
        <w:rPr>
          <w:rFonts w:hint="eastAsia" w:ascii="仿宋" w:hAnsi="仿宋" w:eastAsia="仿宋" w:cs="仿宋"/>
          <w:spacing w:val="8"/>
          <w:sz w:val="32"/>
          <w:szCs w:val="32"/>
          <w:shd w:val="clear" w:color="auto" w:fill="FFFFFF"/>
        </w:rPr>
        <w:t>企业主要业务构成情况。</w:t>
      </w:r>
    </w:p>
    <w:p>
      <w:pPr>
        <w:tabs>
          <w:tab w:val="left" w:pos="0"/>
        </w:tabs>
        <w:adjustRightInd w:val="0"/>
        <w:snapToGrid w:val="0"/>
        <w:spacing w:line="400" w:lineRule="exact"/>
        <w:ind w:firstLine="672" w:firstLineChars="200"/>
        <w:rPr>
          <w:rFonts w:hint="eastAsia" w:ascii="仿宋" w:hAnsi="仿宋" w:eastAsia="仿宋" w:cs="仿宋"/>
          <w:spacing w:val="8"/>
          <w:sz w:val="32"/>
          <w:szCs w:val="32"/>
          <w:shd w:val="clear" w:color="auto" w:fill="FFFFFF"/>
        </w:rPr>
      </w:pPr>
    </w:p>
    <w:p>
      <w:pPr>
        <w:tabs>
          <w:tab w:val="left" w:pos="0"/>
        </w:tabs>
        <w:adjustRightInd w:val="0"/>
        <w:snapToGrid w:val="0"/>
        <w:spacing w:line="400" w:lineRule="exact"/>
        <w:ind w:firstLine="675" w:firstLineChars="200"/>
      </w:pPr>
      <w:r>
        <w:rPr>
          <w:rFonts w:hint="eastAsia" w:ascii="仿宋" w:hAnsi="仿宋" w:eastAsia="仿宋" w:cs="仿宋"/>
          <w:b/>
          <w:spacing w:val="8"/>
          <w:sz w:val="32"/>
          <w:szCs w:val="32"/>
          <w:shd w:val="clear" w:color="auto" w:fill="FFFFFF"/>
        </w:rPr>
        <w:tab/>
      </w:r>
      <w:r>
        <w:rPr>
          <w:rFonts w:hint="eastAsia" w:ascii="仿宋" w:hAnsi="仿宋" w:eastAsia="仿宋" w:cs="仿宋"/>
          <w:b/>
          <w:sz w:val="32"/>
          <w:szCs w:val="32"/>
        </w:rPr>
        <w:t>表1-3           2020年企业业务构成表</w:t>
      </w:r>
    </w:p>
    <w:tbl>
      <w:tblPr>
        <w:tblStyle w:val="8"/>
        <w:tblW w:w="7926" w:type="dxa"/>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745"/>
        <w:gridCol w:w="1140"/>
        <w:gridCol w:w="791"/>
        <w:gridCol w:w="900"/>
        <w:gridCol w:w="795"/>
        <w:gridCol w:w="855"/>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trPr>
        <w:tc>
          <w:tcPr>
            <w:tcW w:w="1620" w:type="dxa"/>
            <w:vMerge w:val="restart"/>
            <w:noWrap w:val="0"/>
            <w:vAlign w:val="center"/>
          </w:tcPr>
          <w:p>
            <w:pPr>
              <w:snapToGrid w:val="0"/>
              <w:jc w:val="center"/>
              <w:rPr>
                <w:rFonts w:hint="eastAsia" w:ascii="黑体" w:eastAsia="黑体"/>
                <w:szCs w:val="21"/>
              </w:rPr>
            </w:pPr>
            <w:r>
              <w:rPr>
                <w:rFonts w:hint="eastAsia" w:ascii="黑体" w:eastAsia="黑体"/>
                <w:szCs w:val="21"/>
              </w:rPr>
              <w:t>业务分类名称</w:t>
            </w:r>
          </w:p>
        </w:tc>
        <w:tc>
          <w:tcPr>
            <w:tcW w:w="1885" w:type="dxa"/>
            <w:gridSpan w:val="2"/>
            <w:noWrap w:val="0"/>
            <w:vAlign w:val="center"/>
          </w:tcPr>
          <w:p>
            <w:pPr>
              <w:snapToGrid w:val="0"/>
              <w:jc w:val="center"/>
              <w:rPr>
                <w:rFonts w:hint="eastAsia" w:ascii="黑体" w:eastAsia="黑体"/>
                <w:szCs w:val="21"/>
              </w:rPr>
            </w:pPr>
            <w:r>
              <w:rPr>
                <w:rFonts w:hint="eastAsia" w:ascii="黑体" w:eastAsia="黑体"/>
                <w:szCs w:val="21"/>
              </w:rPr>
              <w:t>资产</w:t>
            </w:r>
          </w:p>
        </w:tc>
        <w:tc>
          <w:tcPr>
            <w:tcW w:w="1691" w:type="dxa"/>
            <w:gridSpan w:val="2"/>
            <w:noWrap w:val="0"/>
            <w:vAlign w:val="center"/>
          </w:tcPr>
          <w:p>
            <w:pPr>
              <w:snapToGrid w:val="0"/>
              <w:jc w:val="center"/>
              <w:rPr>
                <w:rFonts w:hint="eastAsia" w:ascii="黑体" w:eastAsia="黑体"/>
                <w:szCs w:val="21"/>
              </w:rPr>
            </w:pPr>
            <w:r>
              <w:rPr>
                <w:rFonts w:hint="eastAsia" w:ascii="黑体" w:eastAsia="黑体"/>
                <w:szCs w:val="21"/>
              </w:rPr>
              <w:t>营业收入</w:t>
            </w:r>
          </w:p>
        </w:tc>
        <w:tc>
          <w:tcPr>
            <w:tcW w:w="1650" w:type="dxa"/>
            <w:gridSpan w:val="2"/>
            <w:noWrap w:val="0"/>
            <w:vAlign w:val="center"/>
          </w:tcPr>
          <w:p>
            <w:pPr>
              <w:snapToGrid w:val="0"/>
              <w:jc w:val="center"/>
              <w:rPr>
                <w:rFonts w:hint="eastAsia" w:ascii="黑体" w:eastAsia="黑体"/>
                <w:szCs w:val="21"/>
              </w:rPr>
            </w:pPr>
            <w:r>
              <w:rPr>
                <w:rFonts w:hint="eastAsia" w:ascii="黑体" w:eastAsia="黑体"/>
                <w:szCs w:val="21"/>
              </w:rPr>
              <w:t>利润总额</w:t>
            </w:r>
          </w:p>
        </w:tc>
        <w:tc>
          <w:tcPr>
            <w:tcW w:w="1080" w:type="dxa"/>
            <w:vMerge w:val="restart"/>
            <w:noWrap w:val="0"/>
            <w:vAlign w:val="center"/>
          </w:tcPr>
          <w:p>
            <w:pPr>
              <w:snapToGrid w:val="0"/>
              <w:jc w:val="center"/>
              <w:rPr>
                <w:rFonts w:ascii="黑体" w:eastAsia="黑体"/>
                <w:szCs w:val="21"/>
              </w:rPr>
            </w:pPr>
            <w:r>
              <w:rPr>
                <w:rFonts w:hint="eastAsia" w:ascii="黑体" w:eastAsia="黑体"/>
                <w:szCs w:val="21"/>
              </w:rPr>
              <w:t>在职职工</w:t>
            </w:r>
          </w:p>
          <w:p>
            <w:pPr>
              <w:snapToGrid w:val="0"/>
              <w:jc w:val="center"/>
              <w:rPr>
                <w:rFonts w:hint="eastAsia" w:ascii="黑体" w:eastAsia="黑体"/>
                <w:sz w:val="18"/>
                <w:szCs w:val="18"/>
              </w:rPr>
            </w:pPr>
            <w:r>
              <w:rPr>
                <w:rFonts w:hint="eastAsia" w:ascii="黑体" w:eastAsia="黑体"/>
                <w:sz w:val="18"/>
                <w:szCs w:val="18"/>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trPr>
        <w:tc>
          <w:tcPr>
            <w:tcW w:w="1620" w:type="dxa"/>
            <w:vMerge w:val="continue"/>
            <w:noWrap w:val="0"/>
            <w:vAlign w:val="center"/>
          </w:tcPr>
          <w:p>
            <w:pPr>
              <w:snapToGrid w:val="0"/>
              <w:jc w:val="center"/>
              <w:rPr>
                <w:rFonts w:hint="eastAsia" w:ascii="黑体" w:eastAsia="黑体"/>
                <w:szCs w:val="21"/>
              </w:rPr>
            </w:pPr>
          </w:p>
        </w:tc>
        <w:tc>
          <w:tcPr>
            <w:tcW w:w="745" w:type="dxa"/>
            <w:tcBorders>
              <w:bottom w:val="single" w:color="auto" w:sz="4" w:space="0"/>
            </w:tcBorders>
            <w:noWrap w:val="0"/>
            <w:vAlign w:val="center"/>
          </w:tcPr>
          <w:p>
            <w:pPr>
              <w:snapToGrid w:val="0"/>
              <w:jc w:val="center"/>
              <w:rPr>
                <w:rFonts w:hint="eastAsia" w:ascii="黑体" w:eastAsia="黑体"/>
                <w:szCs w:val="21"/>
              </w:rPr>
            </w:pPr>
            <w:r>
              <w:rPr>
                <w:rFonts w:hint="eastAsia" w:ascii="黑体" w:hAnsi="宋体" w:eastAsia="黑体"/>
                <w:bCs/>
                <w:spacing w:val="-20"/>
                <w:szCs w:val="21"/>
              </w:rPr>
              <w:t>数 量</w:t>
            </w:r>
            <w:r>
              <w:rPr>
                <w:rFonts w:hint="eastAsia" w:ascii="黑体" w:hAnsi="宋体" w:eastAsia="黑体"/>
                <w:bCs/>
                <w:spacing w:val="-20"/>
                <w:sz w:val="18"/>
                <w:szCs w:val="18"/>
              </w:rPr>
              <w:t>(万元)</w:t>
            </w:r>
          </w:p>
        </w:tc>
        <w:tc>
          <w:tcPr>
            <w:tcW w:w="1140" w:type="dxa"/>
            <w:tcBorders>
              <w:bottom w:val="single" w:color="auto" w:sz="4" w:space="0"/>
            </w:tcBorders>
            <w:noWrap w:val="0"/>
            <w:vAlign w:val="center"/>
          </w:tcPr>
          <w:p>
            <w:pPr>
              <w:snapToGrid w:val="0"/>
              <w:jc w:val="center"/>
              <w:rPr>
                <w:rFonts w:hint="eastAsia" w:ascii="黑体" w:eastAsia="黑体"/>
                <w:szCs w:val="21"/>
              </w:rPr>
            </w:pPr>
            <w:r>
              <w:rPr>
                <w:rFonts w:hint="eastAsia" w:ascii="黑体" w:hAnsi="宋体" w:eastAsia="黑体"/>
                <w:bCs/>
                <w:spacing w:val="-20"/>
                <w:szCs w:val="21"/>
              </w:rPr>
              <w:t>比重</w:t>
            </w:r>
            <w:r>
              <w:rPr>
                <w:rFonts w:hint="eastAsia" w:ascii="黑体" w:hAnsi="宋体" w:eastAsia="黑体"/>
                <w:bCs/>
                <w:spacing w:val="-20"/>
                <w:sz w:val="18"/>
                <w:szCs w:val="18"/>
              </w:rPr>
              <w:t>（％）</w:t>
            </w:r>
          </w:p>
        </w:tc>
        <w:tc>
          <w:tcPr>
            <w:tcW w:w="791" w:type="dxa"/>
            <w:tcBorders>
              <w:bottom w:val="single" w:color="auto" w:sz="4" w:space="0"/>
            </w:tcBorders>
            <w:noWrap w:val="0"/>
            <w:vAlign w:val="center"/>
          </w:tcPr>
          <w:p>
            <w:pPr>
              <w:snapToGrid w:val="0"/>
              <w:jc w:val="center"/>
              <w:rPr>
                <w:rFonts w:ascii="黑体" w:hAnsi="宋体" w:eastAsia="黑体"/>
                <w:bCs/>
                <w:spacing w:val="-20"/>
                <w:szCs w:val="21"/>
              </w:rPr>
            </w:pPr>
            <w:r>
              <w:rPr>
                <w:rFonts w:hint="eastAsia" w:ascii="黑体" w:hAnsi="宋体" w:eastAsia="黑体"/>
                <w:bCs/>
                <w:spacing w:val="-20"/>
                <w:szCs w:val="21"/>
              </w:rPr>
              <w:t>数 量</w:t>
            </w:r>
          </w:p>
          <w:p>
            <w:pPr>
              <w:snapToGrid w:val="0"/>
              <w:jc w:val="center"/>
              <w:rPr>
                <w:rFonts w:hint="eastAsia" w:ascii="黑体" w:eastAsia="黑体"/>
                <w:szCs w:val="21"/>
              </w:rPr>
            </w:pPr>
            <w:r>
              <w:rPr>
                <w:rFonts w:hint="eastAsia" w:ascii="黑体" w:hAnsi="宋体" w:eastAsia="黑体"/>
                <w:bCs/>
                <w:spacing w:val="-20"/>
                <w:sz w:val="18"/>
                <w:szCs w:val="18"/>
              </w:rPr>
              <w:t>(万元)</w:t>
            </w:r>
          </w:p>
        </w:tc>
        <w:tc>
          <w:tcPr>
            <w:tcW w:w="900" w:type="dxa"/>
            <w:tcBorders>
              <w:bottom w:val="single" w:color="auto" w:sz="4" w:space="0"/>
            </w:tcBorders>
            <w:noWrap w:val="0"/>
            <w:vAlign w:val="center"/>
          </w:tcPr>
          <w:p>
            <w:pPr>
              <w:snapToGrid w:val="0"/>
              <w:jc w:val="center"/>
              <w:rPr>
                <w:rFonts w:hint="eastAsia" w:ascii="黑体" w:eastAsia="黑体"/>
                <w:szCs w:val="21"/>
              </w:rPr>
            </w:pPr>
            <w:r>
              <w:rPr>
                <w:rFonts w:hint="eastAsia" w:ascii="黑体" w:hAnsi="宋体" w:eastAsia="黑体"/>
                <w:bCs/>
                <w:spacing w:val="-20"/>
                <w:szCs w:val="21"/>
              </w:rPr>
              <w:t>比重</w:t>
            </w:r>
            <w:r>
              <w:rPr>
                <w:rFonts w:hint="eastAsia" w:ascii="黑体" w:hAnsi="宋体" w:eastAsia="黑体"/>
                <w:bCs/>
                <w:spacing w:val="-20"/>
                <w:sz w:val="18"/>
                <w:szCs w:val="18"/>
              </w:rPr>
              <w:t>（％）</w:t>
            </w:r>
          </w:p>
        </w:tc>
        <w:tc>
          <w:tcPr>
            <w:tcW w:w="795" w:type="dxa"/>
            <w:tcBorders>
              <w:bottom w:val="single" w:color="auto" w:sz="4" w:space="0"/>
            </w:tcBorders>
            <w:noWrap w:val="0"/>
            <w:vAlign w:val="center"/>
          </w:tcPr>
          <w:p>
            <w:pPr>
              <w:snapToGrid w:val="0"/>
              <w:jc w:val="center"/>
              <w:rPr>
                <w:rFonts w:hint="eastAsia" w:ascii="黑体" w:eastAsia="黑体"/>
                <w:szCs w:val="21"/>
              </w:rPr>
            </w:pPr>
            <w:r>
              <w:rPr>
                <w:rFonts w:hint="eastAsia" w:ascii="黑体" w:hAnsi="宋体" w:eastAsia="黑体"/>
                <w:bCs/>
                <w:spacing w:val="-20"/>
                <w:szCs w:val="21"/>
              </w:rPr>
              <w:t>数 量</w:t>
            </w:r>
            <w:r>
              <w:rPr>
                <w:rFonts w:hint="eastAsia" w:ascii="黑体" w:hAnsi="宋体" w:eastAsia="黑体"/>
                <w:bCs/>
                <w:spacing w:val="-20"/>
                <w:sz w:val="18"/>
                <w:szCs w:val="18"/>
              </w:rPr>
              <w:t>(万元)</w:t>
            </w:r>
          </w:p>
        </w:tc>
        <w:tc>
          <w:tcPr>
            <w:tcW w:w="855" w:type="dxa"/>
            <w:tcBorders>
              <w:bottom w:val="single" w:color="auto" w:sz="4" w:space="0"/>
            </w:tcBorders>
            <w:noWrap w:val="0"/>
            <w:vAlign w:val="center"/>
          </w:tcPr>
          <w:p>
            <w:pPr>
              <w:snapToGrid w:val="0"/>
              <w:jc w:val="center"/>
              <w:rPr>
                <w:rFonts w:hint="eastAsia" w:ascii="黑体" w:eastAsia="黑体"/>
                <w:szCs w:val="21"/>
              </w:rPr>
            </w:pPr>
            <w:r>
              <w:rPr>
                <w:rFonts w:hint="eastAsia" w:ascii="黑体" w:hAnsi="宋体" w:eastAsia="黑体"/>
                <w:bCs/>
                <w:spacing w:val="-20"/>
                <w:szCs w:val="21"/>
              </w:rPr>
              <w:t>比重</w:t>
            </w:r>
            <w:r>
              <w:rPr>
                <w:rFonts w:hint="eastAsia" w:ascii="黑体" w:hAnsi="宋体" w:eastAsia="黑体"/>
                <w:bCs/>
                <w:spacing w:val="-20"/>
                <w:sz w:val="18"/>
                <w:szCs w:val="18"/>
              </w:rPr>
              <w:t>（％）</w:t>
            </w:r>
          </w:p>
        </w:tc>
        <w:tc>
          <w:tcPr>
            <w:tcW w:w="1080" w:type="dxa"/>
            <w:vMerge w:val="continue"/>
            <w:tcBorders>
              <w:bottom w:val="single" w:color="auto" w:sz="4" w:space="0"/>
            </w:tcBorders>
            <w:noWrap w:val="0"/>
            <w:vAlign w:val="center"/>
          </w:tcPr>
          <w:p>
            <w:pPr>
              <w:snapToGrid w:val="0"/>
              <w:jc w:val="center"/>
              <w:rPr>
                <w:rFonts w:hint="eastAsia" w:ascii="黑体"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 w:hRule="atLeast"/>
        </w:trPr>
        <w:tc>
          <w:tcPr>
            <w:tcW w:w="1620" w:type="dxa"/>
            <w:tcBorders>
              <w:right w:val="single" w:color="auto" w:sz="4" w:space="0"/>
            </w:tcBorders>
            <w:noWrap w:val="0"/>
            <w:vAlign w:val="center"/>
          </w:tcPr>
          <w:p>
            <w:pPr>
              <w:snapToGrid w:val="0"/>
              <w:rPr>
                <w:rFonts w:hint="eastAsia" w:ascii="黑体" w:eastAsia="黑体"/>
                <w:szCs w:val="21"/>
              </w:rPr>
            </w:pPr>
            <w:r>
              <w:rPr>
                <w:rFonts w:hint="eastAsia" w:ascii="黑体" w:eastAsia="黑体"/>
                <w:szCs w:val="21"/>
              </w:rPr>
              <w:t>主业：</w:t>
            </w:r>
          </w:p>
        </w:tc>
        <w:tc>
          <w:tcPr>
            <w:tcW w:w="745" w:type="dxa"/>
            <w:tcBorders>
              <w:top w:val="single" w:color="auto" w:sz="4" w:space="0"/>
              <w:left w:val="single" w:color="auto" w:sz="4" w:space="0"/>
              <w:bottom w:val="single" w:color="auto" w:sz="4" w:space="0"/>
              <w:right w:val="nil"/>
            </w:tcBorders>
            <w:noWrap w:val="0"/>
            <w:vAlign w:val="center"/>
          </w:tcPr>
          <w:p>
            <w:pPr>
              <w:snapToGrid w:val="0"/>
              <w:rPr>
                <w:rFonts w:hint="eastAsia" w:ascii="黑体" w:eastAsia="黑体"/>
                <w:szCs w:val="21"/>
              </w:rPr>
            </w:pPr>
          </w:p>
        </w:tc>
        <w:tc>
          <w:tcPr>
            <w:tcW w:w="1140" w:type="dxa"/>
            <w:tcBorders>
              <w:top w:val="single" w:color="auto" w:sz="4" w:space="0"/>
              <w:left w:val="nil"/>
              <w:bottom w:val="single" w:color="auto" w:sz="4" w:space="0"/>
              <w:right w:val="nil"/>
            </w:tcBorders>
            <w:noWrap w:val="0"/>
            <w:vAlign w:val="center"/>
          </w:tcPr>
          <w:p>
            <w:pPr>
              <w:snapToGrid w:val="0"/>
              <w:rPr>
                <w:rFonts w:hint="eastAsia" w:ascii="黑体" w:eastAsia="黑体"/>
                <w:szCs w:val="21"/>
              </w:rPr>
            </w:pPr>
          </w:p>
        </w:tc>
        <w:tc>
          <w:tcPr>
            <w:tcW w:w="791" w:type="dxa"/>
            <w:tcBorders>
              <w:top w:val="single" w:color="auto" w:sz="4" w:space="0"/>
              <w:left w:val="nil"/>
              <w:bottom w:val="single" w:color="auto" w:sz="4" w:space="0"/>
              <w:right w:val="nil"/>
            </w:tcBorders>
            <w:noWrap w:val="0"/>
            <w:vAlign w:val="center"/>
          </w:tcPr>
          <w:p>
            <w:pPr>
              <w:snapToGrid w:val="0"/>
              <w:rPr>
                <w:rFonts w:hint="eastAsia" w:ascii="黑体" w:eastAsia="黑体"/>
                <w:szCs w:val="21"/>
              </w:rPr>
            </w:pPr>
          </w:p>
        </w:tc>
        <w:tc>
          <w:tcPr>
            <w:tcW w:w="900" w:type="dxa"/>
            <w:tcBorders>
              <w:top w:val="single" w:color="auto" w:sz="4" w:space="0"/>
              <w:left w:val="nil"/>
              <w:bottom w:val="single" w:color="auto" w:sz="4" w:space="0"/>
              <w:right w:val="nil"/>
            </w:tcBorders>
            <w:noWrap w:val="0"/>
            <w:vAlign w:val="center"/>
          </w:tcPr>
          <w:p>
            <w:pPr>
              <w:snapToGrid w:val="0"/>
              <w:rPr>
                <w:rFonts w:hint="eastAsia" w:ascii="黑体" w:eastAsia="黑体"/>
                <w:szCs w:val="21"/>
              </w:rPr>
            </w:pPr>
          </w:p>
        </w:tc>
        <w:tc>
          <w:tcPr>
            <w:tcW w:w="795" w:type="dxa"/>
            <w:tcBorders>
              <w:top w:val="single" w:color="auto" w:sz="4" w:space="0"/>
              <w:left w:val="nil"/>
              <w:bottom w:val="single" w:color="auto" w:sz="4" w:space="0"/>
              <w:right w:val="nil"/>
            </w:tcBorders>
            <w:noWrap w:val="0"/>
            <w:vAlign w:val="center"/>
          </w:tcPr>
          <w:p>
            <w:pPr>
              <w:snapToGrid w:val="0"/>
              <w:rPr>
                <w:rFonts w:hint="eastAsia" w:ascii="黑体" w:eastAsia="黑体"/>
                <w:szCs w:val="21"/>
              </w:rPr>
            </w:pPr>
          </w:p>
        </w:tc>
        <w:tc>
          <w:tcPr>
            <w:tcW w:w="855" w:type="dxa"/>
            <w:tcBorders>
              <w:top w:val="single" w:color="auto" w:sz="4" w:space="0"/>
              <w:left w:val="nil"/>
              <w:bottom w:val="single" w:color="auto" w:sz="4" w:space="0"/>
              <w:right w:val="nil"/>
            </w:tcBorders>
            <w:noWrap w:val="0"/>
            <w:vAlign w:val="center"/>
          </w:tcPr>
          <w:p>
            <w:pPr>
              <w:snapToGrid w:val="0"/>
              <w:rPr>
                <w:rFonts w:hint="eastAsia" w:ascii="黑体" w:eastAsia="黑体"/>
                <w:szCs w:val="21"/>
              </w:rPr>
            </w:pPr>
          </w:p>
        </w:tc>
        <w:tc>
          <w:tcPr>
            <w:tcW w:w="1080" w:type="dxa"/>
            <w:tcBorders>
              <w:top w:val="single" w:color="auto" w:sz="4" w:space="0"/>
              <w:left w:val="nil"/>
              <w:bottom w:val="single" w:color="auto" w:sz="4" w:space="0"/>
              <w:right w:val="single" w:color="auto" w:sz="4" w:space="0"/>
            </w:tcBorders>
            <w:noWrap w:val="0"/>
            <w:vAlign w:val="center"/>
          </w:tcPr>
          <w:p>
            <w:pPr>
              <w:snapToGrid w:val="0"/>
              <w:rPr>
                <w:rFonts w:hint="eastAsia" w:ascii="黑体"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1620" w:type="dxa"/>
            <w:noWrap w:val="0"/>
            <w:vAlign w:val="center"/>
          </w:tcPr>
          <w:p>
            <w:pPr>
              <w:snapToGrid w:val="0"/>
              <w:rPr>
                <w:rFonts w:ascii="黑体" w:eastAsia="黑体"/>
                <w:szCs w:val="21"/>
              </w:rPr>
            </w:pPr>
            <w:r>
              <w:rPr>
                <w:rFonts w:hint="eastAsia" w:ascii="黑体" w:eastAsia="黑体"/>
                <w:szCs w:val="21"/>
              </w:rPr>
              <w:t>纸业经营</w:t>
            </w:r>
          </w:p>
        </w:tc>
        <w:tc>
          <w:tcPr>
            <w:tcW w:w="745" w:type="dxa"/>
            <w:tcBorders>
              <w:top w:val="single" w:color="auto" w:sz="4" w:space="0"/>
            </w:tcBorders>
            <w:noWrap w:val="0"/>
            <w:vAlign w:val="center"/>
          </w:tcPr>
          <w:p>
            <w:pPr>
              <w:snapToGrid w:val="0"/>
              <w:jc w:val="center"/>
              <w:rPr>
                <w:rFonts w:ascii="黑体" w:eastAsia="黑体"/>
                <w:szCs w:val="21"/>
              </w:rPr>
            </w:pPr>
            <w:r>
              <w:rPr>
                <w:rFonts w:hint="eastAsia" w:ascii="黑体" w:eastAsia="黑体"/>
                <w:szCs w:val="21"/>
              </w:rPr>
              <w:t>54846</w:t>
            </w:r>
          </w:p>
        </w:tc>
        <w:tc>
          <w:tcPr>
            <w:tcW w:w="1140" w:type="dxa"/>
            <w:tcBorders>
              <w:top w:val="single" w:color="auto" w:sz="4" w:space="0"/>
            </w:tcBorders>
            <w:noWrap w:val="0"/>
            <w:vAlign w:val="center"/>
          </w:tcPr>
          <w:p>
            <w:pPr>
              <w:snapToGrid w:val="0"/>
              <w:jc w:val="center"/>
              <w:rPr>
                <w:rFonts w:ascii="黑体" w:eastAsia="黑体"/>
                <w:szCs w:val="21"/>
              </w:rPr>
            </w:pPr>
            <w:r>
              <w:rPr>
                <w:rFonts w:hint="eastAsia" w:ascii="黑体" w:eastAsia="黑体"/>
                <w:szCs w:val="21"/>
              </w:rPr>
              <w:t>49.5%</w:t>
            </w:r>
          </w:p>
        </w:tc>
        <w:tc>
          <w:tcPr>
            <w:tcW w:w="791" w:type="dxa"/>
            <w:tcBorders>
              <w:top w:val="single" w:color="auto" w:sz="4" w:space="0"/>
            </w:tcBorders>
            <w:noWrap w:val="0"/>
            <w:vAlign w:val="center"/>
          </w:tcPr>
          <w:p>
            <w:pPr>
              <w:snapToGrid w:val="0"/>
              <w:jc w:val="center"/>
              <w:rPr>
                <w:rFonts w:ascii="黑体" w:eastAsia="黑体"/>
                <w:szCs w:val="21"/>
              </w:rPr>
            </w:pPr>
            <w:r>
              <w:rPr>
                <w:rFonts w:hint="eastAsia" w:ascii="黑体" w:eastAsia="黑体"/>
                <w:szCs w:val="21"/>
              </w:rPr>
              <w:t>18951</w:t>
            </w:r>
          </w:p>
        </w:tc>
        <w:tc>
          <w:tcPr>
            <w:tcW w:w="900" w:type="dxa"/>
            <w:tcBorders>
              <w:top w:val="single" w:color="auto" w:sz="4" w:space="0"/>
            </w:tcBorders>
            <w:noWrap w:val="0"/>
            <w:vAlign w:val="center"/>
          </w:tcPr>
          <w:p>
            <w:pPr>
              <w:snapToGrid w:val="0"/>
              <w:jc w:val="center"/>
              <w:rPr>
                <w:rFonts w:ascii="黑体" w:eastAsia="黑体"/>
                <w:szCs w:val="21"/>
              </w:rPr>
            </w:pPr>
            <w:r>
              <w:rPr>
                <w:rFonts w:hint="eastAsia" w:ascii="黑体" w:eastAsia="黑体"/>
                <w:szCs w:val="21"/>
              </w:rPr>
              <w:t>63.27%</w:t>
            </w:r>
          </w:p>
        </w:tc>
        <w:tc>
          <w:tcPr>
            <w:tcW w:w="795" w:type="dxa"/>
            <w:tcBorders>
              <w:top w:val="single" w:color="auto" w:sz="4" w:space="0"/>
            </w:tcBorders>
            <w:noWrap w:val="0"/>
            <w:vAlign w:val="center"/>
          </w:tcPr>
          <w:p>
            <w:pPr>
              <w:snapToGrid w:val="0"/>
              <w:jc w:val="center"/>
              <w:rPr>
                <w:rFonts w:ascii="黑体" w:eastAsia="黑体"/>
                <w:szCs w:val="21"/>
              </w:rPr>
            </w:pPr>
            <w:r>
              <w:rPr>
                <w:rFonts w:hint="eastAsia" w:ascii="黑体" w:eastAsia="黑体"/>
                <w:szCs w:val="21"/>
              </w:rPr>
              <w:t xml:space="preserve">0                                                                                     </w:t>
            </w:r>
          </w:p>
        </w:tc>
        <w:tc>
          <w:tcPr>
            <w:tcW w:w="855" w:type="dxa"/>
            <w:tcBorders>
              <w:top w:val="single" w:color="auto" w:sz="4" w:space="0"/>
            </w:tcBorders>
            <w:noWrap w:val="0"/>
            <w:vAlign w:val="center"/>
          </w:tcPr>
          <w:p>
            <w:pPr>
              <w:snapToGrid w:val="0"/>
              <w:jc w:val="center"/>
              <w:rPr>
                <w:rFonts w:ascii="黑体" w:eastAsia="黑体"/>
                <w:szCs w:val="21"/>
              </w:rPr>
            </w:pPr>
            <w:r>
              <w:rPr>
                <w:rFonts w:hint="eastAsia" w:ascii="黑体" w:eastAsia="黑体"/>
                <w:szCs w:val="21"/>
              </w:rPr>
              <w:t>0%</w:t>
            </w:r>
          </w:p>
        </w:tc>
        <w:tc>
          <w:tcPr>
            <w:tcW w:w="1080" w:type="dxa"/>
            <w:tcBorders>
              <w:top w:val="single" w:color="auto" w:sz="4" w:space="0"/>
            </w:tcBorders>
            <w:noWrap w:val="0"/>
            <w:vAlign w:val="center"/>
          </w:tcPr>
          <w:p>
            <w:pPr>
              <w:snapToGrid w:val="0"/>
              <w:jc w:val="center"/>
              <w:rPr>
                <w:rFonts w:ascii="黑体" w:eastAsia="黑体"/>
                <w:szCs w:val="21"/>
              </w:rPr>
            </w:pPr>
            <w:r>
              <w:rPr>
                <w:rFonts w:hint="eastAsia" w:ascii="黑体" w:eastAsia="黑体"/>
                <w:szCs w:val="21"/>
              </w:rPr>
              <w:t>165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2" w:hRule="atLeast"/>
        </w:trPr>
        <w:tc>
          <w:tcPr>
            <w:tcW w:w="1620" w:type="dxa"/>
            <w:noWrap w:val="0"/>
            <w:vAlign w:val="center"/>
          </w:tcPr>
          <w:p>
            <w:pPr>
              <w:snapToGrid w:val="0"/>
              <w:rPr>
                <w:rFonts w:ascii="黑体" w:eastAsia="黑体"/>
                <w:szCs w:val="21"/>
              </w:rPr>
            </w:pPr>
            <w:r>
              <w:rPr>
                <w:rFonts w:hint="eastAsia" w:ascii="黑体" w:eastAsia="黑体"/>
                <w:szCs w:val="21"/>
              </w:rPr>
              <w:t>资产经营</w:t>
            </w:r>
          </w:p>
        </w:tc>
        <w:tc>
          <w:tcPr>
            <w:tcW w:w="745" w:type="dxa"/>
            <w:noWrap w:val="0"/>
            <w:vAlign w:val="center"/>
          </w:tcPr>
          <w:p>
            <w:pPr>
              <w:snapToGrid w:val="0"/>
              <w:jc w:val="center"/>
              <w:rPr>
                <w:rFonts w:ascii="黑体" w:eastAsia="黑体"/>
                <w:szCs w:val="21"/>
              </w:rPr>
            </w:pPr>
            <w:r>
              <w:rPr>
                <w:rFonts w:hint="eastAsia" w:ascii="黑体" w:eastAsia="黑体"/>
                <w:szCs w:val="21"/>
              </w:rPr>
              <w:t>55954</w:t>
            </w:r>
          </w:p>
        </w:tc>
        <w:tc>
          <w:tcPr>
            <w:tcW w:w="1140" w:type="dxa"/>
            <w:noWrap w:val="0"/>
            <w:vAlign w:val="center"/>
          </w:tcPr>
          <w:p>
            <w:pPr>
              <w:snapToGrid w:val="0"/>
              <w:jc w:val="center"/>
              <w:rPr>
                <w:rFonts w:ascii="黑体" w:eastAsia="黑体"/>
                <w:szCs w:val="21"/>
              </w:rPr>
            </w:pPr>
            <w:r>
              <w:rPr>
                <w:rFonts w:hint="eastAsia" w:ascii="黑体" w:eastAsia="黑体"/>
                <w:szCs w:val="21"/>
              </w:rPr>
              <w:t>50.5%</w:t>
            </w:r>
          </w:p>
        </w:tc>
        <w:tc>
          <w:tcPr>
            <w:tcW w:w="791" w:type="dxa"/>
            <w:noWrap w:val="0"/>
            <w:vAlign w:val="center"/>
          </w:tcPr>
          <w:p>
            <w:pPr>
              <w:snapToGrid w:val="0"/>
              <w:jc w:val="center"/>
              <w:rPr>
                <w:rFonts w:ascii="黑体" w:eastAsia="黑体"/>
                <w:szCs w:val="21"/>
              </w:rPr>
            </w:pPr>
            <w:r>
              <w:rPr>
                <w:rFonts w:hint="eastAsia" w:ascii="黑体" w:eastAsia="黑体"/>
                <w:szCs w:val="21"/>
              </w:rPr>
              <w:t>11003</w:t>
            </w:r>
          </w:p>
        </w:tc>
        <w:tc>
          <w:tcPr>
            <w:tcW w:w="900" w:type="dxa"/>
            <w:noWrap w:val="0"/>
            <w:vAlign w:val="center"/>
          </w:tcPr>
          <w:p>
            <w:pPr>
              <w:snapToGrid w:val="0"/>
              <w:jc w:val="center"/>
              <w:rPr>
                <w:rFonts w:ascii="黑体" w:eastAsia="黑体"/>
                <w:szCs w:val="21"/>
              </w:rPr>
            </w:pPr>
            <w:r>
              <w:rPr>
                <w:rFonts w:hint="eastAsia" w:ascii="黑体" w:eastAsia="黑体"/>
                <w:szCs w:val="21"/>
              </w:rPr>
              <w:t>36.73%</w:t>
            </w:r>
          </w:p>
        </w:tc>
        <w:tc>
          <w:tcPr>
            <w:tcW w:w="795" w:type="dxa"/>
            <w:noWrap w:val="0"/>
            <w:vAlign w:val="center"/>
          </w:tcPr>
          <w:p>
            <w:pPr>
              <w:snapToGrid w:val="0"/>
              <w:jc w:val="center"/>
              <w:rPr>
                <w:rFonts w:ascii="黑体" w:eastAsia="黑体"/>
                <w:szCs w:val="21"/>
              </w:rPr>
            </w:pPr>
            <w:r>
              <w:rPr>
                <w:rFonts w:hint="eastAsia" w:ascii="黑体" w:eastAsia="黑体"/>
                <w:szCs w:val="21"/>
              </w:rPr>
              <w:t>1939</w:t>
            </w:r>
          </w:p>
        </w:tc>
        <w:tc>
          <w:tcPr>
            <w:tcW w:w="855" w:type="dxa"/>
            <w:noWrap w:val="0"/>
            <w:vAlign w:val="center"/>
          </w:tcPr>
          <w:p>
            <w:pPr>
              <w:snapToGrid w:val="0"/>
              <w:jc w:val="center"/>
              <w:rPr>
                <w:rFonts w:ascii="黑体" w:eastAsia="黑体"/>
                <w:szCs w:val="21"/>
              </w:rPr>
            </w:pPr>
            <w:r>
              <w:rPr>
                <w:rFonts w:hint="eastAsia" w:ascii="黑体" w:eastAsia="黑体"/>
                <w:szCs w:val="21"/>
              </w:rPr>
              <w:t>100%</w:t>
            </w:r>
          </w:p>
        </w:tc>
        <w:tc>
          <w:tcPr>
            <w:tcW w:w="1080" w:type="dxa"/>
            <w:noWrap w:val="0"/>
            <w:vAlign w:val="center"/>
          </w:tcPr>
          <w:p>
            <w:pPr>
              <w:snapToGrid w:val="0"/>
              <w:jc w:val="center"/>
              <w:rPr>
                <w:rFonts w:ascii="黑体" w:eastAsia="黑体"/>
                <w:szCs w:val="21"/>
              </w:rPr>
            </w:pPr>
            <w:r>
              <w:rPr>
                <w:rFonts w:hint="eastAsia" w:ascii="黑体" w:eastAsia="黑体"/>
                <w:szCs w:val="21"/>
              </w:rPr>
              <w:t>621</w:t>
            </w:r>
          </w:p>
        </w:tc>
      </w:tr>
    </w:tbl>
    <w:p>
      <w:pPr>
        <w:spacing w:line="240" w:lineRule="auto"/>
        <w:rPr>
          <w:rFonts w:hint="eastAsia" w:ascii="仿宋_GB2312" w:hAnsi="仿宋" w:eastAsia="仿宋_GB2312" w:cs="仿宋"/>
          <w:b/>
          <w:color w:val="auto"/>
          <w:spacing w:val="8"/>
          <w:sz w:val="32"/>
          <w:szCs w:val="32"/>
          <w:shd w:val="clear" w:color="auto" w:fill="FFFFFF"/>
        </w:rPr>
      </w:pPr>
    </w:p>
    <w:p>
      <w:pPr>
        <w:spacing w:line="240" w:lineRule="auto"/>
        <w:ind w:firstLine="675" w:firstLineChars="200"/>
        <w:rPr>
          <w:rFonts w:ascii="仿宋_GB2312" w:hAnsi="仿宋" w:eastAsia="仿宋_GB2312" w:cs="仿宋"/>
          <w:b/>
          <w:color w:val="auto"/>
          <w:spacing w:val="8"/>
          <w:sz w:val="32"/>
          <w:szCs w:val="32"/>
          <w:shd w:val="clear" w:color="auto" w:fill="FFFFFF"/>
        </w:rPr>
      </w:pPr>
      <w:r>
        <w:rPr>
          <w:rFonts w:hint="eastAsia" w:ascii="仿宋_GB2312" w:hAnsi="仿宋" w:eastAsia="仿宋_GB2312" w:cs="仿宋"/>
          <w:b/>
          <w:color w:val="auto"/>
          <w:spacing w:val="8"/>
          <w:sz w:val="32"/>
          <w:szCs w:val="32"/>
          <w:shd w:val="clear" w:color="auto" w:fill="FFFFFF"/>
        </w:rPr>
        <w:t>2、企业发展环境分析</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ascii="仿宋_GB2312" w:hAnsi="仿宋" w:eastAsia="仿宋_GB2312" w:cs="仿宋"/>
          <w:color w:val="auto"/>
          <w:spacing w:val="8"/>
          <w:sz w:val="32"/>
          <w:szCs w:val="32"/>
          <w:shd w:val="clear" w:color="auto" w:fill="FFFFFF"/>
        </w:rPr>
      </w:pPr>
      <w:r>
        <w:rPr>
          <w:rFonts w:hint="eastAsia" w:ascii="楷体" w:hAnsi="楷体" w:eastAsia="楷体" w:cs="楷体"/>
          <w:color w:val="auto"/>
          <w:spacing w:val="8"/>
          <w:sz w:val="32"/>
          <w:szCs w:val="32"/>
          <w:shd w:val="clear" w:color="auto" w:fill="FFFFFF"/>
        </w:rPr>
        <w:t>（1）激烈的行业竞争。</w:t>
      </w:r>
      <w:r>
        <w:rPr>
          <w:rFonts w:hint="eastAsia" w:ascii="仿宋_GB2312" w:hAnsi="仿宋" w:eastAsia="仿宋_GB2312" w:cs="仿宋"/>
          <w:color w:val="auto"/>
          <w:spacing w:val="8"/>
          <w:sz w:val="32"/>
          <w:szCs w:val="32"/>
          <w:shd w:val="clear" w:color="auto" w:fill="FFFFFF"/>
        </w:rPr>
        <w:t>中国特种纸从2000年后快速发展，但多为模仿国外纸样，近几年由于环保治理、市场发展供需不平衡等因素使生产大纸的企业转型特种纸越来越多，使特种纸行业竞争更加激烈，同质化严重。但仍有很多好的特种纸产品因国内技术及生产等因素还未能取代进口，也是国内特种纸企业努力的方向。目前公司在国内市场有技术优势，但100%的客户是民营企业，且多位于江浙闽粤南方地区，南方地区在金融资金方面运作灵活，中小民营企业多注重短期效益，价格灵活，营销政策灵活。同行业也多为民营企业，无论在管理、人才、技术、环保等方面投入都比国有企业低，相应生产成本也低，比国有企业更有竞争力。</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hint="eastAsia" w:ascii="仿宋_GB2312" w:hAnsi="仿宋" w:eastAsia="仿宋_GB2312" w:cs="仿宋"/>
          <w:color w:val="auto"/>
          <w:spacing w:val="8"/>
          <w:sz w:val="32"/>
          <w:szCs w:val="32"/>
          <w:shd w:val="clear" w:color="auto" w:fill="FFFFFF"/>
          <w:lang w:val="en-US" w:eastAsia="zh-CN"/>
        </w:rPr>
      </w:pPr>
      <w:r>
        <w:rPr>
          <w:rFonts w:hint="eastAsia" w:ascii="楷体" w:hAnsi="楷体" w:eastAsia="楷体" w:cs="楷体"/>
          <w:color w:val="auto"/>
          <w:spacing w:val="8"/>
          <w:sz w:val="32"/>
          <w:szCs w:val="32"/>
          <w:shd w:val="clear" w:color="auto" w:fill="FFFFFF"/>
        </w:rPr>
        <w:t>（2）多变的</w:t>
      </w:r>
      <w:r>
        <w:rPr>
          <w:rFonts w:hint="eastAsia" w:ascii="楷体" w:hAnsi="楷体" w:eastAsia="楷体" w:cs="楷体"/>
          <w:color w:val="auto"/>
          <w:spacing w:val="8"/>
          <w:sz w:val="32"/>
          <w:szCs w:val="32"/>
          <w:shd w:val="clear" w:color="auto" w:fill="FFFFFF"/>
          <w:lang w:val="en-US" w:eastAsia="zh-CN"/>
        </w:rPr>
        <w:t>城市规划</w:t>
      </w:r>
      <w:r>
        <w:rPr>
          <w:rFonts w:hint="eastAsia" w:ascii="楷体" w:hAnsi="楷体" w:eastAsia="楷体" w:cs="楷体"/>
          <w:color w:val="auto"/>
          <w:spacing w:val="8"/>
          <w:sz w:val="32"/>
          <w:szCs w:val="32"/>
          <w:shd w:val="clear" w:color="auto" w:fill="FFFFFF"/>
        </w:rPr>
        <w:t>。</w:t>
      </w:r>
      <w:r>
        <w:rPr>
          <w:rFonts w:hint="eastAsia" w:ascii="仿宋_GB2312" w:hAnsi="仿宋" w:eastAsia="仿宋_GB2312" w:cs="仿宋"/>
          <w:color w:val="auto"/>
          <w:spacing w:val="8"/>
          <w:sz w:val="32"/>
          <w:szCs w:val="32"/>
          <w:shd w:val="clear" w:color="auto" w:fill="FFFFFF"/>
        </w:rPr>
        <w:t>集团所属晨光空港公司地处高新区临港经济圈，2016年属地由历城区划归高新区后，高新区重新进行了战略规划，现在</w:t>
      </w:r>
      <w:r>
        <w:rPr>
          <w:rFonts w:hint="eastAsia" w:ascii="仿宋_GB2312" w:hAnsi="仿宋" w:eastAsia="仿宋_GB2312" w:cs="仿宋"/>
          <w:color w:val="auto"/>
          <w:spacing w:val="8"/>
          <w:sz w:val="32"/>
          <w:szCs w:val="32"/>
          <w:shd w:val="clear" w:color="auto" w:fill="FFFFFF"/>
          <w:lang w:eastAsia="zh-CN"/>
        </w:rPr>
        <w:t>，</w:t>
      </w:r>
      <w:r>
        <w:rPr>
          <w:rFonts w:hint="eastAsia" w:ascii="仿宋_GB2312" w:hAnsi="仿宋" w:eastAsia="仿宋_GB2312" w:cs="仿宋"/>
          <w:color w:val="auto"/>
          <w:spacing w:val="8"/>
          <w:sz w:val="32"/>
          <w:szCs w:val="32"/>
          <w:shd w:val="clear" w:color="auto" w:fill="FFFFFF"/>
        </w:rPr>
        <w:t>位于高新临空经济开发区和新规划的济南新旧动能转换先行区区划内，</w:t>
      </w:r>
      <w:r>
        <w:rPr>
          <w:rFonts w:hint="eastAsia" w:ascii="仿宋_GB2312" w:hAnsi="仿宋" w:eastAsia="仿宋_GB2312" w:cs="仿宋"/>
          <w:color w:val="auto"/>
          <w:spacing w:val="8"/>
          <w:sz w:val="32"/>
          <w:szCs w:val="32"/>
          <w:shd w:val="clear" w:color="auto" w:fill="FFFFFF"/>
          <w:lang w:val="en-US" w:eastAsia="zh-CN"/>
        </w:rPr>
        <w:t>因行政区划的不断调整，政府对现有土地性质调整存在不确定性，冷链产业生态园区项目不符合土地性质的要求，影响园区未来发展的整体规划。</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ascii="仿宋_GB2312" w:hAnsi="仿宋" w:eastAsia="仿宋_GB2312" w:cs="仿宋"/>
          <w:color w:val="auto"/>
          <w:spacing w:val="8"/>
          <w:sz w:val="32"/>
          <w:szCs w:val="32"/>
          <w:shd w:val="clear" w:color="auto" w:fill="FFFFFF"/>
        </w:rPr>
      </w:pPr>
      <w:r>
        <w:rPr>
          <w:rFonts w:hint="eastAsia" w:ascii="楷体" w:hAnsi="楷体" w:eastAsia="楷体" w:cs="楷体"/>
          <w:color w:val="auto"/>
          <w:spacing w:val="8"/>
          <w:sz w:val="32"/>
          <w:szCs w:val="32"/>
          <w:shd w:val="clear" w:color="auto" w:fill="FFFFFF"/>
        </w:rPr>
        <w:t>（3）复杂的内部因素。</w:t>
      </w:r>
      <w:r>
        <w:rPr>
          <w:rFonts w:hint="eastAsia" w:ascii="仿宋_GB2312" w:hAnsi="仿宋" w:eastAsia="仿宋_GB2312" w:cs="仿宋"/>
          <w:color w:val="auto"/>
          <w:spacing w:val="8"/>
          <w:sz w:val="32"/>
          <w:szCs w:val="32"/>
          <w:shd w:val="clear" w:color="auto" w:fill="FFFFFF"/>
        </w:rPr>
        <w:t>集团所属鲁丰公司从事工业生产近百年的历史，因环保等诸多原因全面停产，随后企业转型，由生产经营向资产经营过渡，实际运行中必然会有诸多问题，既有人的思想观念问题，也存在客观因素，如有关物业管理、房屋租赁以及三产管理的人才较少，园区硬件设施跟不上业户要求，基础设施配套不完善，如厂房老旧、立面破损严重、两侧绿化、停车场等问题。</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ascii="仿宋_GB2312" w:hAnsi="仿宋" w:eastAsia="仿宋_GB2312" w:cs="仿宋"/>
          <w:color w:val="auto"/>
          <w:spacing w:val="8"/>
          <w:sz w:val="32"/>
          <w:szCs w:val="32"/>
          <w:shd w:val="clear" w:color="auto" w:fill="FFFFFF"/>
        </w:rPr>
      </w:pPr>
      <w:r>
        <w:rPr>
          <w:rFonts w:hint="eastAsia" w:ascii="楷体" w:hAnsi="楷体" w:eastAsia="楷体" w:cs="楷体"/>
          <w:color w:val="auto"/>
          <w:spacing w:val="8"/>
          <w:sz w:val="32"/>
          <w:szCs w:val="32"/>
          <w:shd w:val="clear" w:color="auto" w:fill="FFFFFF"/>
        </w:rPr>
        <w:t>（4）诸多的现实问题。</w:t>
      </w:r>
      <w:r>
        <w:rPr>
          <w:rFonts w:hint="eastAsia" w:ascii="仿宋_GB2312" w:hAnsi="仿宋" w:eastAsia="仿宋_GB2312" w:cs="仿宋"/>
          <w:color w:val="auto"/>
          <w:spacing w:val="8"/>
          <w:sz w:val="32"/>
          <w:szCs w:val="32"/>
          <w:shd w:val="clear" w:color="auto" w:fill="FFFFFF"/>
        </w:rPr>
        <w:t>早期因地区相对偏远、人员老化及历史遗留问题，空港公司发展迟缓，仅限于对房屋及土地进行租赁。目前机场路两侧发展迅猛，各类高新企业如雨后春笋茁壮成长，可以说是日新月异，如此优越的地理位置，我们还在进行着低价、原始的房屋土地出租，个别土地每平方米每天的租金不到一分钱，有的地块每亩地年租金一百多元，房屋土地租金远低于周围的区域，陈旧破败的营商环境更已不符合日益发展的新形势，还有可能面临土地被收回的境地。</w:t>
      </w:r>
    </w:p>
    <w:p>
      <w:pPr>
        <w:spacing w:line="240" w:lineRule="auto"/>
        <w:ind w:firstLine="675" w:firstLineChars="200"/>
        <w:rPr>
          <w:rFonts w:ascii="仿宋_GB2312" w:hAnsi="仿宋" w:eastAsia="仿宋_GB2312" w:cs="仿宋"/>
          <w:b/>
          <w:color w:val="auto"/>
          <w:spacing w:val="8"/>
          <w:sz w:val="32"/>
          <w:szCs w:val="32"/>
          <w:shd w:val="clear" w:color="auto" w:fill="FFFFFF"/>
        </w:rPr>
      </w:pPr>
      <w:r>
        <w:rPr>
          <w:rFonts w:hint="eastAsia" w:ascii="仿宋_GB2312" w:hAnsi="仿宋" w:eastAsia="仿宋_GB2312" w:cs="仿宋"/>
          <w:b/>
          <w:color w:val="auto"/>
          <w:spacing w:val="8"/>
          <w:sz w:val="32"/>
          <w:szCs w:val="32"/>
          <w:shd w:val="clear" w:color="auto" w:fill="FFFFFF"/>
        </w:rPr>
        <w:t>3、竞争力分析</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ascii="仿宋_GB2312" w:hAnsi="仿宋" w:eastAsia="仿宋_GB2312" w:cs="仿宋"/>
          <w:color w:val="auto"/>
          <w:spacing w:val="8"/>
          <w:sz w:val="32"/>
          <w:szCs w:val="32"/>
          <w:shd w:val="clear" w:color="auto" w:fill="FFFFFF"/>
        </w:rPr>
      </w:pPr>
      <w:r>
        <w:rPr>
          <w:rFonts w:hint="eastAsia" w:ascii="楷体" w:hAnsi="楷体" w:eastAsia="楷体" w:cs="楷体"/>
          <w:color w:val="auto"/>
          <w:spacing w:val="8"/>
          <w:sz w:val="32"/>
          <w:szCs w:val="32"/>
          <w:shd w:val="clear" w:color="auto" w:fill="FFFFFF"/>
        </w:rPr>
        <w:t>（1）土地资源。</w:t>
      </w:r>
      <w:r>
        <w:rPr>
          <w:rFonts w:hint="eastAsia" w:ascii="仿宋_GB2312" w:hAnsi="仿宋" w:eastAsia="仿宋_GB2312" w:cs="仿宋"/>
          <w:color w:val="auto"/>
          <w:spacing w:val="8"/>
          <w:sz w:val="32"/>
          <w:szCs w:val="32"/>
          <w:shd w:val="clear" w:color="auto" w:fill="FFFFFF"/>
        </w:rPr>
        <w:t>润易集团现有960余亩的土地资源优势。其中：位于济南市旅游景区趵突泉、大明湖周边土地70余亩；位于交通枢纽的济南市火车站、长途汽车总站周边土地180余亩；位于济南国际机场临港区土地500余亩；位于槐荫区美里湖开发区土地14亩；位于齐河县潘店镇土地70余亩。黄金地段的土地资源是企业长远发展的优势资源。</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ascii="仿宋_GB2312" w:hAnsi="仿宋" w:eastAsia="仿宋_GB2312" w:cs="仿宋"/>
          <w:color w:val="auto"/>
          <w:spacing w:val="8"/>
          <w:sz w:val="32"/>
          <w:szCs w:val="32"/>
          <w:shd w:val="clear" w:color="auto" w:fill="FFFFFF"/>
        </w:rPr>
      </w:pPr>
      <w:r>
        <w:rPr>
          <w:rFonts w:hint="eastAsia" w:ascii="楷体" w:hAnsi="楷体" w:eastAsia="楷体" w:cs="楷体"/>
          <w:color w:val="auto"/>
          <w:spacing w:val="8"/>
          <w:sz w:val="32"/>
          <w:szCs w:val="32"/>
          <w:shd w:val="clear" w:color="auto" w:fill="FFFFFF"/>
        </w:rPr>
        <w:t>（2）房屋资源。</w:t>
      </w:r>
      <w:r>
        <w:rPr>
          <w:rFonts w:hint="eastAsia" w:ascii="仿宋_GB2312" w:hAnsi="仿宋" w:eastAsia="仿宋_GB2312" w:cs="仿宋"/>
          <w:color w:val="auto"/>
          <w:spacing w:val="8"/>
          <w:sz w:val="32"/>
          <w:szCs w:val="32"/>
          <w:shd w:val="clear" w:color="auto" w:fill="FFFFFF"/>
        </w:rPr>
        <w:t>润易集团现有23万余平米的房屋资源。其中，位处旅游景点大明湖、趵突泉300米范围内的鲁丰公司的房屋53000余平米；位处济南市南北中轴通道济洛路中段，与堤口路交汇，中恒商城南邻的晨安公司房屋95000平米；在济南市遥墙国际机场临港开发区，空港公司拥有53000余平米房屋资源。该区域位于遥墙镇交通枢纽中心地带，可充分发挥地域面积的优势和国际机场物流潜力。</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ascii="仿宋_GB2312" w:hAnsi="仿宋" w:eastAsia="仿宋_GB2312" w:cs="仿宋"/>
          <w:color w:val="auto"/>
          <w:spacing w:val="8"/>
          <w:sz w:val="32"/>
          <w:szCs w:val="32"/>
          <w:shd w:val="clear" w:color="auto" w:fill="FFFFFF"/>
        </w:rPr>
      </w:pPr>
      <w:r>
        <w:rPr>
          <w:rFonts w:hint="eastAsia" w:ascii="楷体" w:hAnsi="楷体" w:eastAsia="楷体" w:cs="楷体"/>
          <w:color w:val="auto"/>
          <w:spacing w:val="8"/>
          <w:sz w:val="32"/>
          <w:szCs w:val="32"/>
          <w:shd w:val="clear" w:color="auto" w:fill="FFFFFF"/>
        </w:rPr>
        <w:t>（3）特种纸品牌技术资源。</w:t>
      </w:r>
      <w:r>
        <w:rPr>
          <w:rFonts w:hint="eastAsia" w:ascii="仿宋_GB2312" w:hAnsi="仿宋" w:eastAsia="仿宋_GB2312" w:cs="仿宋"/>
          <w:color w:val="auto"/>
          <w:spacing w:val="8"/>
          <w:sz w:val="32"/>
          <w:szCs w:val="32"/>
          <w:shd w:val="clear" w:color="auto" w:fill="FFFFFF"/>
        </w:rPr>
        <w:t>拥有特种纸生产技术、市场营销品牌的优势。近年来由润易集团制定的《军工羊皮纸》、《工业羊皮纸》、《特细羊皮纸》、《农业羊皮纸》、《食品包装羊皮纸》、《字典纸》等产品标准，被中国产品标准化中心定为国家标准，并被评为山东省标准创新型企业，同时还获得国家知识产权局颁发的两项包装专利证书，持有在全国造纸企业为数不多的卷烟纸生产许可证，并拥有一支几十年置身于造纸生产的工程技术人员和职工队伍。</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hint="eastAsia" w:ascii="仿宋_GB2312" w:hAnsi="仿宋" w:eastAsia="仿宋_GB2312" w:cs="仿宋"/>
          <w:color w:val="auto"/>
          <w:spacing w:val="8"/>
          <w:sz w:val="32"/>
          <w:szCs w:val="32"/>
          <w:shd w:val="clear" w:color="auto" w:fill="FFFFFF"/>
        </w:rPr>
      </w:pPr>
      <w:r>
        <w:rPr>
          <w:rFonts w:hint="eastAsia" w:ascii="楷体" w:hAnsi="楷体" w:eastAsia="楷体" w:cs="楷体"/>
          <w:color w:val="auto"/>
          <w:spacing w:val="8"/>
          <w:sz w:val="32"/>
          <w:szCs w:val="32"/>
          <w:shd w:val="clear" w:color="auto" w:fill="FFFFFF"/>
        </w:rPr>
        <w:t>（4）存在的主要问题。</w:t>
      </w:r>
      <w:r>
        <w:rPr>
          <w:rFonts w:hint="eastAsia" w:ascii="仿宋_GB2312" w:hAnsi="仿宋" w:eastAsia="仿宋_GB2312" w:cs="仿宋"/>
          <w:color w:val="auto"/>
          <w:spacing w:val="8"/>
          <w:sz w:val="32"/>
          <w:szCs w:val="32"/>
          <w:shd w:val="clear" w:color="auto" w:fill="FFFFFF"/>
        </w:rPr>
        <w:t>2013年9月，市委、市政府结合开展党的群众路线教育实践活动，在全市开展了市属44户国有困难企业帮扶解困和改革发展工作。自开展帮扶解困和改革发展工作以来,在市委、市政府的关心支持下，在市国资委及市相关部门和四个协调小组的具体帮助下，不仅解决了长期拖欠职工的五项历史债务问题，而且把困扰企业18年的合资纠纷问题彻底解决。同时，清产核资、职工股回购等基础工作都已完成。2013年10月-2016年12月共拨入资金28865万元，现已全部专款专用，发放到位和交付到位，并且企业还自筹部分资金进行补充。通过一系列扎实有效的工作，在市委、市政府和市国资委帮扶解困政策及资金的大力支持下，使企业职工内债有了比较明显改善，职工安置有了明显效果，企业的发展也取得了明显成绩。</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hint="eastAsia" w:ascii="仿宋_GB2312" w:hAnsi="仿宋" w:eastAsia="仿宋_GB2312" w:cs="仿宋"/>
          <w:color w:val="auto"/>
          <w:spacing w:val="8"/>
          <w:sz w:val="32"/>
          <w:szCs w:val="32"/>
          <w:shd w:val="clear" w:color="auto" w:fill="FFFFFF"/>
        </w:rPr>
      </w:pPr>
      <w:r>
        <w:rPr>
          <w:rFonts w:hint="eastAsia" w:ascii="仿宋_GB2312" w:hAnsi="仿宋" w:eastAsia="仿宋_GB2312" w:cs="仿宋"/>
          <w:color w:val="auto"/>
          <w:spacing w:val="8"/>
          <w:sz w:val="32"/>
          <w:szCs w:val="32"/>
          <w:shd w:val="clear" w:color="auto" w:fill="FFFFFF"/>
        </w:rPr>
        <w:t>但因润易集团是在大易公司的基础上整合而来，历史遗留问题尚未完全解决，且企业的内外债情况较多且繁杂，现存在的主要问题有：一是下岗职工多，在全部在册职工中，有45％的人员下岗，部分人员每月生活费没有按照国家标准足额发放；二是职工的社保等五险不能全额缴纳，每月欠缴社保费近34万元；三是职工到龄退休，因欠社保费，需要企业个案补缴，才能办理退休，涉及金额巨大；四是在册职工年龄老化严重，知识结构偏低，年轻职工较少，对大跨度、创新型的发展难以应对。</w:t>
      </w:r>
    </w:p>
    <w:p>
      <w:pPr>
        <w:pStyle w:val="2"/>
        <w:rPr>
          <w:rFonts w:hint="eastAsia"/>
        </w:rPr>
      </w:pPr>
    </w:p>
    <w:p>
      <w:pPr>
        <w:pStyle w:val="7"/>
        <w:shd w:val="clear" w:color="auto" w:fill="FFFFFF"/>
        <w:spacing w:before="0" w:beforeAutospacing="0" w:after="0" w:afterAutospacing="0" w:line="360" w:lineRule="auto"/>
        <w:ind w:firstLine="675" w:firstLineChars="200"/>
        <w:jc w:val="both"/>
        <w:rPr>
          <w:rFonts w:ascii="楷体" w:hAnsi="楷体" w:eastAsia="楷体" w:cs="楷体"/>
          <w:b/>
          <w:color w:val="auto"/>
          <w:spacing w:val="8"/>
          <w:sz w:val="32"/>
          <w:szCs w:val="32"/>
          <w:shd w:val="clear" w:color="auto" w:fill="FFFFFF"/>
        </w:rPr>
      </w:pPr>
      <w:r>
        <w:rPr>
          <w:rFonts w:hint="eastAsia" w:ascii="楷体" w:hAnsi="楷体" w:eastAsia="楷体" w:cs="楷体"/>
          <w:b/>
          <w:color w:val="auto"/>
          <w:spacing w:val="8"/>
          <w:sz w:val="32"/>
          <w:szCs w:val="32"/>
          <w:shd w:val="clear" w:color="auto" w:fill="FFFFFF"/>
        </w:rPr>
        <w:t>（二）发展战略与指导思想</w:t>
      </w:r>
    </w:p>
    <w:p>
      <w:pPr>
        <w:adjustRightInd w:val="0"/>
        <w:snapToGrid w:val="0"/>
        <w:spacing w:line="360" w:lineRule="auto"/>
        <w:ind w:firstLine="643" w:firstLineChars="200"/>
        <w:rPr>
          <w:rFonts w:ascii="仿宋_GB2312" w:hAnsi="仿宋" w:eastAsia="仿宋_GB2312" w:cs="仿宋"/>
          <w:b/>
          <w:color w:val="auto"/>
          <w:sz w:val="32"/>
          <w:szCs w:val="32"/>
        </w:rPr>
      </w:pPr>
      <w:r>
        <w:rPr>
          <w:rFonts w:hint="eastAsia" w:ascii="仿宋_GB2312" w:hAnsi="仿宋" w:eastAsia="仿宋_GB2312" w:cs="仿宋"/>
          <w:b/>
          <w:color w:val="auto"/>
          <w:sz w:val="32"/>
          <w:szCs w:val="32"/>
        </w:rPr>
        <w:t>1、企业战略定位与战略描述</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ascii="仿宋_GB2312" w:hAnsi="仿宋" w:eastAsia="仿宋_GB2312" w:cs="仿宋"/>
          <w:color w:val="auto"/>
          <w:sz w:val="32"/>
          <w:szCs w:val="32"/>
        </w:rPr>
      </w:pPr>
      <w:r>
        <w:rPr>
          <w:rFonts w:hint="eastAsia" w:ascii="仿宋_GB2312" w:hAnsi="仿宋" w:eastAsia="仿宋_GB2312" w:cs="仿宋"/>
          <w:color w:val="auto"/>
          <w:spacing w:val="8"/>
          <w:sz w:val="32"/>
          <w:szCs w:val="32"/>
          <w:shd w:val="clear" w:color="auto" w:fill="FFFFFF"/>
        </w:rPr>
        <w:t>润易集团瞄准经济社会高质量发展的需求，突出自主创新补短板、挖潜力的重点，不断完善工作机制，加强统筹协调，形成工作合力，发挥集团资源的整体优势，最大限度提升国有资本的带动力、影响力，把握发展规律，发扬斗争精神，抓住机遇、应对挑战、趋利避害、奋勇前进，为“十四五”工作开好局、起好步。</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_GB2312" w:hAnsi="仿宋" w:eastAsia="仿宋_GB2312"/>
          <w:color w:val="auto"/>
          <w:sz w:val="32"/>
          <w:szCs w:val="32"/>
        </w:rPr>
      </w:pPr>
      <w:r>
        <w:rPr>
          <w:rFonts w:hint="eastAsia" w:ascii="楷体" w:hAnsi="楷体" w:eastAsia="楷体" w:cs="楷体"/>
          <w:color w:val="auto"/>
          <w:sz w:val="32"/>
          <w:szCs w:val="32"/>
        </w:rPr>
        <w:t>（1）全方位开展主业经营。</w:t>
      </w:r>
      <w:r>
        <w:rPr>
          <w:rFonts w:hint="eastAsia" w:ascii="仿宋_GB2312" w:hAnsi="仿宋" w:eastAsia="仿宋_GB2312"/>
          <w:color w:val="auto"/>
          <w:sz w:val="32"/>
          <w:szCs w:val="32"/>
        </w:rPr>
        <w:t>公司传承百年企业精神，坚持走以人为本，科技创新的道路，并以质量为先导，诚信求发展为宗旨；高起点、高科技、高质量、高效率，用技术创新赢得市场对特种纸产品的需求的经营理念，不断吸收新技术、引进新设备，永不停止追求和发展的脚步，和中国国内以及世界国际性大公司协手发展、合作共赢</w:t>
      </w:r>
      <w:r>
        <w:rPr>
          <w:rFonts w:hint="eastAsia" w:ascii="仿宋_GB2312" w:hAnsi="仿宋" w:eastAsia="仿宋_GB2312"/>
          <w:color w:val="auto"/>
          <w:sz w:val="32"/>
          <w:szCs w:val="32"/>
          <w:lang w:eastAsia="zh-CN"/>
        </w:rPr>
        <w:t>，</w:t>
      </w:r>
      <w:r>
        <w:rPr>
          <w:rFonts w:hint="eastAsia" w:ascii="仿宋_GB2312" w:hAnsi="仿宋" w:eastAsia="仿宋_GB2312"/>
          <w:color w:val="auto"/>
          <w:sz w:val="32"/>
          <w:szCs w:val="32"/>
        </w:rPr>
        <w:t>更好地进行“点线面”的整合，在特种纸的点上求突破，在产品多样化的面上求展开，在产品链的线上求延伸。发挥技术优势和市场优势，合理利用综合资源，在专用纸、特种纸研发及生产领域，向高端技术产品发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ascii="仿宋_GB2312" w:hAnsi="仿宋" w:eastAsia="仿宋_GB2312" w:cs="Arial"/>
          <w:color w:val="auto"/>
          <w:sz w:val="32"/>
          <w:szCs w:val="32"/>
          <w:shd w:val="clear" w:color="auto" w:fill="FFFFFF"/>
        </w:rPr>
      </w:pPr>
      <w:r>
        <w:rPr>
          <w:rFonts w:hint="eastAsia" w:ascii="楷体" w:hAnsi="楷体" w:eastAsia="楷体" w:cs="楷体"/>
          <w:color w:val="auto"/>
          <w:sz w:val="32"/>
          <w:szCs w:val="32"/>
        </w:rPr>
        <w:t>（2）广角度培育发展新动能。</w:t>
      </w:r>
      <w:r>
        <w:rPr>
          <w:rFonts w:hint="eastAsia" w:ascii="仿宋_GB2312" w:hAnsi="仿宋" w:eastAsia="仿宋_GB2312" w:cs="黑体"/>
          <w:color w:val="auto"/>
          <w:kern w:val="0"/>
          <w:sz w:val="32"/>
          <w:szCs w:val="32"/>
        </w:rPr>
        <w:t>“一湖一环”项目已成为济南的文明符号，企业也要发挥自己的区位优势，</w:t>
      </w:r>
      <w:r>
        <w:rPr>
          <w:rFonts w:hint="eastAsia" w:ascii="仿宋_GB2312" w:hAnsi="仿宋" w:eastAsia="仿宋_GB2312"/>
          <w:color w:val="auto"/>
          <w:sz w:val="32"/>
          <w:szCs w:val="32"/>
        </w:rPr>
        <w:t>集团所属鲁丰公司紧邻济南5A级景区大明湖畔，地理位置得天独厚，</w:t>
      </w:r>
      <w:r>
        <w:rPr>
          <w:rFonts w:hint="eastAsia" w:ascii="仿宋_GB2312" w:hAnsi="仿宋" w:eastAsia="仿宋_GB2312" w:cs="仿宋"/>
          <w:spacing w:val="-3"/>
          <w:sz w:val="32"/>
          <w:szCs w:val="32"/>
        </w:rPr>
        <w:t>为进一步做优存量资产，提高企业现有资产运营效率，并结合企业现有资产状况，把握区域特色，采取“以改造提升引项目，以优质项目促发展”的措施</w:t>
      </w:r>
      <w:r>
        <w:rPr>
          <w:rFonts w:hint="eastAsia" w:ascii="仿宋_GB2312" w:hAnsi="仿宋" w:eastAsia="仿宋_GB2312" w:cs="仿宋"/>
          <w:spacing w:val="-3"/>
          <w:sz w:val="32"/>
          <w:szCs w:val="32"/>
          <w:lang w:eastAsia="zh-CN"/>
        </w:rPr>
        <w:t>，</w:t>
      </w:r>
      <w:r>
        <w:rPr>
          <w:rFonts w:hint="eastAsia" w:ascii="仿宋_GB2312" w:hAnsi="仿宋" w:eastAsia="仿宋_GB2312" w:cs="仿宋"/>
          <w:spacing w:val="-3"/>
          <w:sz w:val="32"/>
          <w:szCs w:val="32"/>
        </w:rPr>
        <w:t>使企业变招商为选商，真正在践行新旧动能转换中，将鲁丰公司打造成为老国企实现转型升级发展的新样板</w:t>
      </w:r>
      <w:r>
        <w:rPr>
          <w:rFonts w:hint="eastAsia" w:ascii="仿宋_GB2312" w:hAnsi="仿宋" w:eastAsia="仿宋_GB2312" w:cs="仿宋"/>
          <w:spacing w:val="-3"/>
          <w:sz w:val="32"/>
          <w:szCs w:val="32"/>
          <w:lang w:eastAsia="zh-CN"/>
        </w:rPr>
        <w:t>，</w:t>
      </w:r>
      <w:r>
        <w:rPr>
          <w:rFonts w:hint="eastAsia" w:ascii="仿宋_GB2312" w:hAnsi="仿宋" w:eastAsia="仿宋_GB2312"/>
          <w:color w:val="auto"/>
          <w:sz w:val="32"/>
          <w:szCs w:val="32"/>
        </w:rPr>
        <w:t>做好“鲁丰创意1908”品牌形象，以存量引增量，</w:t>
      </w:r>
      <w:r>
        <w:rPr>
          <w:rFonts w:hint="eastAsia" w:ascii="仿宋_GB2312" w:hAnsi="仿宋" w:eastAsia="仿宋_GB2312" w:cs="Arial"/>
          <w:color w:val="auto"/>
          <w:sz w:val="32"/>
          <w:szCs w:val="32"/>
          <w:shd w:val="clear" w:color="auto" w:fill="FFFFFF"/>
        </w:rPr>
        <w:t>加快转型升级，履行社会责任，充分发挥引领和表率作用。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 w:eastAsia="仿宋_GB2312"/>
          <w:color w:val="auto"/>
          <w:sz w:val="32"/>
          <w:szCs w:val="32"/>
          <w:lang w:val="en-US" w:eastAsia="zh-CN"/>
        </w:rPr>
      </w:pPr>
      <w:r>
        <w:rPr>
          <w:rFonts w:hint="eastAsia" w:ascii="楷体" w:hAnsi="楷体" w:eastAsia="楷体" w:cs="楷体"/>
          <w:color w:val="auto"/>
          <w:sz w:val="32"/>
          <w:szCs w:val="32"/>
        </w:rPr>
        <w:t>（3）多渠道</w:t>
      </w:r>
      <w:r>
        <w:rPr>
          <w:rFonts w:hint="eastAsia" w:ascii="楷体" w:hAnsi="楷体" w:eastAsia="楷体" w:cs="楷体"/>
          <w:color w:val="auto"/>
          <w:sz w:val="32"/>
          <w:szCs w:val="32"/>
          <w:lang w:val="en-US" w:eastAsia="zh-CN"/>
        </w:rPr>
        <w:t>探索</w:t>
      </w:r>
      <w:r>
        <w:rPr>
          <w:rFonts w:hint="eastAsia" w:ascii="楷体" w:hAnsi="楷体" w:eastAsia="楷体" w:cs="楷体"/>
          <w:color w:val="auto"/>
          <w:sz w:val="32"/>
          <w:szCs w:val="32"/>
        </w:rPr>
        <w:t>发展空间。</w:t>
      </w:r>
      <w:r>
        <w:rPr>
          <w:rFonts w:hint="eastAsia" w:ascii="仿宋_GB2312" w:hAnsi="仿宋" w:eastAsia="仿宋_GB2312"/>
          <w:color w:val="auto"/>
          <w:sz w:val="32"/>
          <w:szCs w:val="32"/>
          <w:lang w:val="en-US" w:eastAsia="zh-CN"/>
        </w:rPr>
        <w:t>空港公司计划利用地处空港核心区的区位优势、政府扶持政策优势，把握空港地区经济全面腾飞的重要时刻，抓住产业转型的重大机遇，充分盘活公司土地资源，</w:t>
      </w:r>
      <w:r>
        <w:rPr>
          <w:rFonts w:hint="eastAsia" w:ascii="仿宋_GB2312" w:hAnsi="仿宋" w:eastAsia="仿宋_GB2312" w:cs="仿宋"/>
          <w:color w:val="auto"/>
          <w:spacing w:val="8"/>
          <w:sz w:val="32"/>
          <w:szCs w:val="32"/>
          <w:shd w:val="clear" w:color="auto" w:fill="FFFFFF"/>
          <w:lang w:val="en-US" w:eastAsia="zh-CN"/>
        </w:rPr>
        <w:t>进一步研究细化，</w:t>
      </w:r>
      <w:r>
        <w:rPr>
          <w:rFonts w:hint="eastAsia" w:ascii="仿宋_GB2312" w:hAnsi="仿宋" w:eastAsia="仿宋_GB2312"/>
          <w:color w:val="auto"/>
          <w:sz w:val="32"/>
          <w:szCs w:val="32"/>
          <w:lang w:val="en-US" w:eastAsia="zh-CN"/>
        </w:rPr>
        <w:t>拟打造符合空港公司实际，同时融合政府建设区域性发展规划的产业园，</w:t>
      </w:r>
      <w:r>
        <w:rPr>
          <w:rFonts w:hint="eastAsia" w:ascii="仿宋_GB2312" w:hAnsi="仿宋" w:eastAsia="仿宋_GB2312" w:cs="仿宋"/>
          <w:color w:val="auto"/>
          <w:spacing w:val="8"/>
          <w:sz w:val="32"/>
          <w:szCs w:val="32"/>
          <w:shd w:val="clear" w:color="auto" w:fill="FFFFFF"/>
          <w:lang w:val="en-US" w:eastAsia="zh-CN"/>
        </w:rPr>
        <w:t>促进企业实现转型发展。</w:t>
      </w:r>
    </w:p>
    <w:p>
      <w:pPr>
        <w:spacing w:line="240" w:lineRule="auto"/>
        <w:ind w:firstLine="480" w:firstLineChars="200"/>
        <w:rPr>
          <w:rFonts w:hint="eastAsia" w:ascii="仿宋_GB2312" w:hAnsi="仿宋" w:eastAsia="仿宋_GB2312" w:cs="黑体"/>
          <w:color w:val="auto"/>
          <w:kern w:val="0"/>
          <w:sz w:val="24"/>
          <w:szCs w:val="24"/>
        </w:rPr>
      </w:pPr>
    </w:p>
    <w:p>
      <w:pPr>
        <w:adjustRightInd w:val="0"/>
        <w:snapToGrid w:val="0"/>
        <w:spacing w:line="240" w:lineRule="auto"/>
        <w:ind w:firstLine="643" w:firstLineChars="200"/>
        <w:rPr>
          <w:rFonts w:ascii="仿宋_GB2312" w:hAnsi="仿宋" w:eastAsia="仿宋_GB2312" w:cs="仿宋"/>
          <w:b/>
          <w:color w:val="auto"/>
          <w:sz w:val="32"/>
          <w:szCs w:val="32"/>
        </w:rPr>
      </w:pPr>
      <w:r>
        <w:rPr>
          <w:rFonts w:hint="eastAsia" w:ascii="仿宋_GB2312" w:hAnsi="仿宋" w:eastAsia="仿宋_GB2312" w:cs="仿宋"/>
          <w:b/>
          <w:color w:val="auto"/>
          <w:sz w:val="32"/>
          <w:szCs w:val="32"/>
        </w:rPr>
        <w:t>2、企业发展指导思想</w:t>
      </w:r>
    </w:p>
    <w:p>
      <w:pPr>
        <w:pStyle w:val="7"/>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600" w:lineRule="exact"/>
        <w:ind w:firstLine="640" w:firstLineChars="200"/>
        <w:jc w:val="both"/>
        <w:textAlignment w:val="auto"/>
        <w:rPr>
          <w:rFonts w:hint="eastAsia" w:ascii="仿宋_GB2312" w:hAnsi="仿宋" w:eastAsia="仿宋_GB2312" w:cs="仿宋"/>
          <w:color w:val="auto"/>
          <w:spacing w:val="8"/>
          <w:sz w:val="32"/>
          <w:szCs w:val="32"/>
          <w:shd w:val="clear" w:color="auto" w:fill="FFFFFF"/>
        </w:rPr>
      </w:pPr>
      <w:r>
        <w:rPr>
          <w:rFonts w:hint="eastAsia" w:ascii="仿宋_GB2312" w:hAnsi="仿宋" w:eastAsia="仿宋_GB2312" w:cs="仿宋"/>
          <w:color w:val="auto"/>
          <w:sz w:val="32"/>
          <w:szCs w:val="32"/>
        </w:rPr>
        <w:t>深入</w:t>
      </w:r>
      <w:r>
        <w:rPr>
          <w:rFonts w:hint="eastAsia" w:ascii="仿宋_GB2312" w:hAnsi="仿宋" w:eastAsia="仿宋_GB2312"/>
          <w:color w:val="auto"/>
          <w:sz w:val="32"/>
          <w:szCs w:val="32"/>
        </w:rPr>
        <w:t>贯彻习近平新时代中国特色社会主义思想，认真</w:t>
      </w:r>
      <w:r>
        <w:rPr>
          <w:rFonts w:hint="eastAsia" w:ascii="仿宋_GB2312" w:hAnsi="仿宋" w:eastAsia="仿宋_GB2312" w:cs="仿宋"/>
          <w:color w:val="auto"/>
          <w:sz w:val="32"/>
          <w:szCs w:val="32"/>
        </w:rPr>
        <w:t>落实党的十九大及系列全会精神，</w:t>
      </w:r>
      <w:r>
        <w:rPr>
          <w:rFonts w:hint="eastAsia" w:ascii="仿宋_GB2312" w:hAnsi="仿宋" w:eastAsia="仿宋_GB2312" w:cs="仿宋"/>
          <w:color w:val="auto"/>
          <w:sz w:val="32"/>
          <w:szCs w:val="32"/>
          <w:lang w:val="en-US" w:eastAsia="zh-CN"/>
        </w:rPr>
        <w:t>坚定不移贯彻新发展理念，持续增强发展动力和活力，</w:t>
      </w:r>
      <w:r>
        <w:rPr>
          <w:rFonts w:hint="eastAsia" w:ascii="仿宋_GB2312" w:hAnsi="仿宋" w:eastAsia="仿宋_GB2312" w:cs="仿宋"/>
          <w:color w:val="auto"/>
          <w:sz w:val="32"/>
          <w:szCs w:val="32"/>
        </w:rPr>
        <w:t>深化市国资国企改革发展的战略意图，研究部署企业治理的重点工作</w:t>
      </w:r>
      <w:r>
        <w:rPr>
          <w:rFonts w:hint="eastAsia" w:ascii="仿宋_GB2312" w:hAnsi="仿宋" w:eastAsia="仿宋_GB2312"/>
          <w:color w:val="auto"/>
          <w:sz w:val="32"/>
          <w:szCs w:val="32"/>
        </w:rPr>
        <w:t>，调整优化国有经济布局结构，坚持稳中求进的工作总基调，提高国有经济的运行质量和效益，</w:t>
      </w:r>
      <w:r>
        <w:rPr>
          <w:rFonts w:hint="eastAsia" w:ascii="仿宋_GB2312" w:hAnsi="仿宋" w:eastAsia="仿宋_GB2312"/>
          <w:color w:val="auto"/>
          <w:sz w:val="32"/>
          <w:szCs w:val="32"/>
          <w:lang w:val="en-US" w:eastAsia="zh-CN"/>
        </w:rPr>
        <w:t>推进</w:t>
      </w:r>
      <w:r>
        <w:rPr>
          <w:rFonts w:hint="eastAsia" w:ascii="仿宋_GB2312" w:hAnsi="仿宋" w:eastAsia="仿宋_GB2312"/>
          <w:color w:val="auto"/>
          <w:sz w:val="32"/>
          <w:szCs w:val="32"/>
        </w:rPr>
        <w:t>国有企业治理体系和治理能力现代</w:t>
      </w:r>
      <w:r>
        <w:rPr>
          <w:rFonts w:hint="eastAsia" w:ascii="仿宋_GB2312" w:hAnsi="仿宋" w:eastAsia="仿宋_GB2312" w:cs="仿宋"/>
          <w:color w:val="auto"/>
          <w:sz w:val="32"/>
          <w:szCs w:val="32"/>
        </w:rPr>
        <w:t>化，</w:t>
      </w:r>
      <w:r>
        <w:rPr>
          <w:rFonts w:hint="eastAsia" w:ascii="仿宋_GB2312" w:hAnsi="仿宋" w:eastAsia="仿宋_GB2312" w:cs="仿宋"/>
          <w:color w:val="auto"/>
          <w:sz w:val="32"/>
          <w:szCs w:val="32"/>
          <w:lang w:val="en-US" w:eastAsia="zh-CN"/>
        </w:rPr>
        <w:t>实现企业高质量发展、经济行稳致远，</w:t>
      </w:r>
      <w:r>
        <w:rPr>
          <w:rFonts w:hint="eastAsia" w:ascii="仿宋_GB2312" w:hAnsi="仿宋" w:eastAsia="仿宋_GB2312" w:cs="仿宋"/>
          <w:color w:val="auto"/>
          <w:sz w:val="32"/>
          <w:szCs w:val="32"/>
        </w:rPr>
        <w:t>更好服务于济南新旧动能转换和社会民生发展等重大城</w:t>
      </w:r>
      <w:r>
        <w:rPr>
          <w:rFonts w:hint="eastAsia" w:ascii="仿宋_GB2312" w:hAnsi="仿宋" w:eastAsia="仿宋_GB2312" w:cs="仿宋"/>
          <w:color w:val="auto"/>
          <w:spacing w:val="8"/>
          <w:sz w:val="32"/>
          <w:szCs w:val="32"/>
          <w:shd w:val="clear" w:color="auto" w:fill="FFFFFF"/>
        </w:rPr>
        <w:t>市战略。</w:t>
      </w:r>
    </w:p>
    <w:p>
      <w:pPr>
        <w:pStyle w:val="7"/>
        <w:shd w:val="clear" w:color="auto" w:fill="FFFFFF"/>
        <w:spacing w:before="0" w:beforeAutospacing="0" w:after="0" w:afterAutospacing="0" w:line="240" w:lineRule="auto"/>
        <w:ind w:firstLine="514" w:firstLineChars="200"/>
        <w:jc w:val="both"/>
        <w:rPr>
          <w:rFonts w:hint="eastAsia" w:ascii="楷体" w:hAnsi="楷体" w:eastAsia="楷体" w:cs="楷体"/>
          <w:b/>
          <w:color w:val="auto"/>
          <w:spacing w:val="8"/>
          <w:sz w:val="24"/>
          <w:szCs w:val="24"/>
          <w:shd w:val="clear" w:color="auto" w:fill="FFFFFF"/>
        </w:rPr>
      </w:pPr>
    </w:p>
    <w:p>
      <w:pPr>
        <w:pStyle w:val="7"/>
        <w:shd w:val="clear" w:color="auto" w:fill="FFFFFF"/>
        <w:spacing w:before="0" w:beforeAutospacing="0" w:after="0" w:afterAutospacing="0" w:line="240" w:lineRule="auto"/>
        <w:ind w:firstLine="675" w:firstLineChars="200"/>
        <w:jc w:val="both"/>
        <w:rPr>
          <w:rFonts w:ascii="楷体" w:hAnsi="楷体" w:eastAsia="楷体" w:cs="楷体"/>
          <w:b/>
          <w:color w:val="auto"/>
          <w:spacing w:val="8"/>
          <w:sz w:val="32"/>
          <w:szCs w:val="32"/>
          <w:shd w:val="clear" w:color="auto" w:fill="FFFFFF"/>
        </w:rPr>
      </w:pPr>
      <w:r>
        <w:rPr>
          <w:rFonts w:hint="eastAsia" w:ascii="楷体" w:hAnsi="楷体" w:eastAsia="楷体" w:cs="楷体"/>
          <w:b/>
          <w:color w:val="auto"/>
          <w:spacing w:val="8"/>
          <w:sz w:val="32"/>
          <w:szCs w:val="32"/>
          <w:shd w:val="clear" w:color="auto" w:fill="FFFFFF"/>
        </w:rPr>
        <w:t>（三）企业发展规划目标</w:t>
      </w:r>
    </w:p>
    <w:p>
      <w:pPr>
        <w:adjustRightInd w:val="0"/>
        <w:snapToGrid w:val="0"/>
        <w:spacing w:line="240" w:lineRule="auto"/>
        <w:ind w:firstLine="643" w:firstLineChars="200"/>
        <w:rPr>
          <w:rFonts w:ascii="仿宋_GB2312" w:hAnsi="仿宋" w:eastAsia="仿宋_GB2312" w:cs="仿宋"/>
          <w:b/>
          <w:color w:val="auto"/>
          <w:sz w:val="32"/>
          <w:szCs w:val="32"/>
        </w:rPr>
      </w:pPr>
      <w:r>
        <w:rPr>
          <w:rFonts w:hint="eastAsia" w:ascii="仿宋_GB2312" w:hAnsi="仿宋" w:eastAsia="仿宋_GB2312" w:cs="仿宋"/>
          <w:b/>
          <w:color w:val="auto"/>
          <w:sz w:val="32"/>
          <w:szCs w:val="32"/>
        </w:rPr>
        <w:t>1、远景规划目标</w:t>
      </w:r>
    </w:p>
    <w:p>
      <w:pPr>
        <w:keepNext w:val="0"/>
        <w:keepLines w:val="0"/>
        <w:pageBreakBefore w:val="0"/>
        <w:widowControl w:val="0"/>
        <w:kinsoku/>
        <w:wordWrap/>
        <w:overflowPunct/>
        <w:topLinePunct w:val="0"/>
        <w:autoSpaceDE/>
        <w:autoSpaceDN/>
        <w:bidi w:val="0"/>
        <w:adjustRightInd/>
        <w:snapToGrid/>
        <w:spacing w:line="600" w:lineRule="exact"/>
        <w:ind w:firstLine="672" w:firstLineChars="200"/>
        <w:textAlignment w:val="auto"/>
        <w:rPr>
          <w:rFonts w:hint="eastAsia" w:ascii="仿宋_GB2312" w:hAnsi="仿宋" w:eastAsia="仿宋_GB2312" w:cs="仿宋"/>
          <w:color w:val="auto"/>
          <w:sz w:val="32"/>
          <w:szCs w:val="32"/>
        </w:rPr>
      </w:pPr>
      <w:r>
        <w:rPr>
          <w:rFonts w:hint="eastAsia" w:ascii="仿宋_GB2312" w:hAnsi="仿宋" w:eastAsia="仿宋_GB2312" w:cs="仿宋"/>
          <w:color w:val="auto"/>
          <w:spacing w:val="8"/>
          <w:sz w:val="32"/>
          <w:szCs w:val="32"/>
          <w:shd w:val="clear" w:color="auto" w:fill="FFFFFF"/>
        </w:rPr>
        <w:t>润易集团</w:t>
      </w:r>
      <w:r>
        <w:rPr>
          <w:rFonts w:hint="eastAsia" w:ascii="仿宋_GB2312" w:hAnsi="仿宋" w:eastAsia="仿宋_GB2312" w:cs="仿宋"/>
          <w:color w:val="auto"/>
          <w:spacing w:val="8"/>
          <w:sz w:val="32"/>
          <w:szCs w:val="32"/>
          <w:shd w:val="clear" w:color="auto" w:fill="FFFFFF"/>
          <w:lang w:val="en-US" w:eastAsia="zh-CN"/>
        </w:rPr>
        <w:t>始终</w:t>
      </w:r>
      <w:r>
        <w:rPr>
          <w:rFonts w:hint="eastAsia" w:ascii="仿宋_GB2312" w:hAnsi="仿宋" w:eastAsia="仿宋_GB2312" w:cs="仿宋"/>
          <w:color w:val="auto"/>
          <w:sz w:val="32"/>
          <w:szCs w:val="32"/>
        </w:rPr>
        <w:t>坚持把规矩放在第一位，坚持把发展作为第一要务，坚持以提高发展质量和提高经济效益为中心，</w:t>
      </w:r>
      <w:r>
        <w:rPr>
          <w:rFonts w:hint="eastAsia" w:ascii="仿宋_GB2312" w:hAnsi="仿宋" w:eastAsia="仿宋_GB2312" w:cs="仿宋"/>
          <w:color w:val="auto"/>
          <w:spacing w:val="8"/>
          <w:sz w:val="32"/>
          <w:szCs w:val="32"/>
          <w:shd w:val="clear" w:color="auto" w:fill="FFFFFF"/>
        </w:rPr>
        <w:t>增强机遇意识和风险意识</w:t>
      </w:r>
      <w:r>
        <w:rPr>
          <w:rFonts w:hint="eastAsia" w:ascii="仿宋_GB2312" w:hAnsi="仿宋" w:eastAsia="仿宋_GB2312" w:cs="仿宋"/>
          <w:color w:val="auto"/>
          <w:spacing w:val="8"/>
          <w:sz w:val="32"/>
          <w:szCs w:val="32"/>
          <w:shd w:val="clear" w:color="auto" w:fill="FFFFFF"/>
          <w:lang w:eastAsia="zh-CN"/>
        </w:rPr>
        <w:t>，</w:t>
      </w:r>
      <w:r>
        <w:rPr>
          <w:rFonts w:hint="eastAsia" w:ascii="仿宋_GB2312" w:hAnsi="仿宋" w:eastAsia="仿宋_GB2312" w:cs="仿宋"/>
          <w:color w:val="auto"/>
          <w:sz w:val="32"/>
          <w:szCs w:val="32"/>
        </w:rPr>
        <w:t>变压力为动力，化挑战为机遇，确保各项工作不断向前推进，企业经营呈现出良性循环和蓄势待发的发展态势</w:t>
      </w:r>
      <w:r>
        <w:rPr>
          <w:rFonts w:hint="eastAsia" w:ascii="仿宋_GB2312" w:hAnsi="仿宋" w:eastAsia="仿宋_GB2312" w:cs="仿宋"/>
          <w:color w:val="auto"/>
          <w:sz w:val="32"/>
          <w:szCs w:val="32"/>
          <w:lang w:eastAsia="zh-CN"/>
        </w:rPr>
        <w:t>。</w:t>
      </w:r>
    </w:p>
    <w:p>
      <w:pPr>
        <w:pStyle w:val="7"/>
        <w:keepNext w:val="0"/>
        <w:keepLines w:val="0"/>
        <w:pageBreakBefore w:val="0"/>
        <w:shd w:val="clear" w:color="auto" w:fill="FFFFFF"/>
        <w:kinsoku/>
        <w:wordWrap/>
        <w:overflowPunct/>
        <w:topLinePunct w:val="0"/>
        <w:autoSpaceDE/>
        <w:autoSpaceDN/>
        <w:bidi w:val="0"/>
        <w:spacing w:before="0" w:beforeAutospacing="0" w:after="0" w:afterAutospacing="0" w:line="600" w:lineRule="exact"/>
        <w:ind w:firstLine="643" w:firstLineChars="200"/>
        <w:jc w:val="both"/>
        <w:textAlignment w:val="auto"/>
        <w:rPr>
          <w:rFonts w:hint="eastAsia" w:ascii="仿宋_GB2312" w:hAnsi="仿宋" w:eastAsia="仿宋_GB2312" w:cs="仿宋"/>
          <w:color w:val="auto"/>
          <w:sz w:val="32"/>
          <w:szCs w:val="32"/>
        </w:rPr>
      </w:pPr>
      <w:r>
        <w:rPr>
          <w:rFonts w:hint="eastAsia" w:ascii="仿宋_GB2312" w:hAnsi="仿宋" w:eastAsia="仿宋_GB2312" w:cs="仿宋"/>
          <w:b/>
          <w:bCs/>
          <w:color w:val="auto"/>
          <w:sz w:val="32"/>
          <w:szCs w:val="32"/>
          <w:lang w:eastAsia="zh-CN"/>
        </w:rPr>
        <w:t>——</w:t>
      </w:r>
      <w:r>
        <w:rPr>
          <w:rFonts w:hint="eastAsia" w:ascii="仿宋_GB2312" w:hAnsi="仿宋" w:eastAsia="仿宋_GB2312" w:cs="仿宋"/>
          <w:b/>
          <w:bCs/>
          <w:color w:val="auto"/>
          <w:sz w:val="32"/>
          <w:szCs w:val="32"/>
          <w:lang w:val="en-US" w:eastAsia="zh-CN"/>
        </w:rPr>
        <w:t>做强做优造纸主业。</w:t>
      </w:r>
      <w:r>
        <w:rPr>
          <w:rFonts w:hint="eastAsia" w:ascii="仿宋_GB2312" w:hAnsi="仿宋" w:eastAsia="仿宋_GB2312" w:cs="仿宋"/>
          <w:color w:val="auto"/>
          <w:sz w:val="32"/>
          <w:szCs w:val="32"/>
        </w:rPr>
        <w:t>在国家倡导技术创新和质量强国的政策环境下，本着“创一流企业，塑行业标杆”愿景，努力发挥自身特种纸研发技术优势，以特种纸生产为主线，以技术创新为核心，实现传统产业的振兴发展。</w:t>
      </w:r>
    </w:p>
    <w:p>
      <w:pPr>
        <w:pStyle w:val="7"/>
        <w:keepNext w:val="0"/>
        <w:keepLines w:val="0"/>
        <w:pageBreakBefore w:val="0"/>
        <w:shd w:val="clear" w:color="auto" w:fill="FFFFFF"/>
        <w:kinsoku/>
        <w:wordWrap/>
        <w:overflowPunct/>
        <w:topLinePunct w:val="0"/>
        <w:autoSpaceDE/>
        <w:autoSpaceDN/>
        <w:bidi w:val="0"/>
        <w:spacing w:before="0" w:beforeAutospacing="0" w:after="0" w:afterAutospacing="0" w:line="600" w:lineRule="exact"/>
        <w:ind w:firstLine="643" w:firstLineChars="200"/>
        <w:jc w:val="both"/>
        <w:textAlignment w:val="auto"/>
        <w:rPr>
          <w:rFonts w:hint="eastAsia" w:ascii="仿宋_GB2312" w:hAnsi="仿宋" w:eastAsia="仿宋_GB2312" w:cs="仿宋"/>
          <w:spacing w:val="-3"/>
          <w:sz w:val="32"/>
          <w:szCs w:val="32"/>
        </w:rPr>
      </w:pPr>
      <w:r>
        <w:rPr>
          <w:rFonts w:hint="eastAsia" w:ascii="仿宋_GB2312" w:hAnsi="仿宋" w:eastAsia="仿宋_GB2312" w:cs="仿宋"/>
          <w:b/>
          <w:bCs/>
          <w:color w:val="auto"/>
          <w:sz w:val="32"/>
          <w:szCs w:val="32"/>
          <w:lang w:eastAsia="zh-CN"/>
        </w:rPr>
        <w:t>——调整产业结构</w:t>
      </w:r>
      <w:r>
        <w:rPr>
          <w:rFonts w:hint="eastAsia" w:ascii="仿宋_GB2312" w:hAnsi="仿宋" w:eastAsia="仿宋_GB2312" w:cs="仿宋"/>
          <w:b/>
          <w:bCs/>
          <w:color w:val="auto"/>
          <w:sz w:val="32"/>
          <w:szCs w:val="32"/>
          <w:lang w:val="en-US" w:eastAsia="zh-CN"/>
        </w:rPr>
        <w:t>布局。</w:t>
      </w:r>
      <w:r>
        <w:rPr>
          <w:rFonts w:hint="eastAsia" w:ascii="仿宋_GB2312" w:hAnsi="仿宋" w:eastAsia="仿宋_GB2312" w:cs="仿宋"/>
          <w:color w:val="auto"/>
          <w:sz w:val="32"/>
          <w:szCs w:val="32"/>
        </w:rPr>
        <w:t>本着做大做强确保国有资产保值增值的原则，优化存量引增量，</w:t>
      </w:r>
      <w:r>
        <w:rPr>
          <w:rFonts w:hint="eastAsia" w:ascii="仿宋_GB2312" w:hAnsi="仿宋" w:eastAsia="仿宋_GB2312" w:cs="仿宋"/>
          <w:color w:val="auto"/>
          <w:sz w:val="32"/>
          <w:szCs w:val="32"/>
          <w:lang w:val="en-US" w:eastAsia="zh-CN"/>
        </w:rPr>
        <w:t>做好</w:t>
      </w:r>
      <w:r>
        <w:rPr>
          <w:rFonts w:hint="eastAsia" w:ascii="仿宋_GB2312" w:hAnsi="仿宋" w:eastAsia="仿宋_GB2312" w:cs="仿宋"/>
          <w:color w:val="auto"/>
          <w:sz w:val="32"/>
          <w:szCs w:val="32"/>
        </w:rPr>
        <w:t>“鲁丰创意1908”</w:t>
      </w:r>
      <w:r>
        <w:rPr>
          <w:rFonts w:hint="eastAsia" w:ascii="仿宋_GB2312" w:hAnsi="仿宋" w:eastAsia="仿宋_GB2312" w:cs="仿宋"/>
          <w:color w:val="auto"/>
          <w:sz w:val="32"/>
          <w:szCs w:val="32"/>
          <w:lang w:val="en-US" w:eastAsia="zh-CN"/>
        </w:rPr>
        <w:t>产业园区，</w:t>
      </w:r>
      <w:r>
        <w:rPr>
          <w:rFonts w:hint="eastAsia" w:ascii="仿宋_GB2312" w:hAnsi="仿宋" w:eastAsia="仿宋_GB2312" w:cs="仿宋"/>
          <w:spacing w:val="-3"/>
          <w:sz w:val="32"/>
          <w:szCs w:val="32"/>
        </w:rPr>
        <w:t>以突出“历史铜元、百年造纸、泉水文化”为主题，打造集怀旧、休闲、娱乐、商务为综合功能的泉水休闲娱乐综合区，使其成为济南市第二个“曲水亭街”。</w:t>
      </w:r>
    </w:p>
    <w:p>
      <w:pPr>
        <w:pStyle w:val="7"/>
        <w:keepNext w:val="0"/>
        <w:keepLines w:val="0"/>
        <w:pageBreakBefore w:val="0"/>
        <w:shd w:val="clear" w:color="auto" w:fill="FFFFFF"/>
        <w:kinsoku/>
        <w:wordWrap/>
        <w:overflowPunct/>
        <w:topLinePunct w:val="0"/>
        <w:autoSpaceDE/>
        <w:autoSpaceDN/>
        <w:bidi w:val="0"/>
        <w:spacing w:before="0" w:beforeAutospacing="0" w:after="0" w:afterAutospacing="0" w:line="600" w:lineRule="exact"/>
        <w:ind w:firstLine="643" w:firstLineChars="200"/>
        <w:jc w:val="both"/>
        <w:textAlignment w:val="auto"/>
        <w:rPr>
          <w:rFonts w:hint="eastAsia" w:ascii="仿宋_GB2312" w:hAnsi="仿宋" w:eastAsia="仿宋_GB2312" w:cs="仿宋"/>
          <w:color w:val="auto"/>
          <w:sz w:val="32"/>
          <w:szCs w:val="32"/>
        </w:rPr>
      </w:pPr>
      <w:r>
        <w:rPr>
          <w:rFonts w:hint="eastAsia" w:ascii="仿宋_GB2312" w:hAnsi="仿宋" w:eastAsia="仿宋_GB2312" w:cs="仿宋"/>
          <w:b/>
          <w:bCs/>
          <w:color w:val="auto"/>
          <w:sz w:val="32"/>
          <w:szCs w:val="32"/>
          <w:lang w:eastAsia="zh-CN"/>
        </w:rPr>
        <w:t>——探索经济新模式。</w:t>
      </w:r>
      <w:r>
        <w:rPr>
          <w:rFonts w:hint="eastAsia" w:ascii="仿宋_GB2312" w:hAnsi="仿宋" w:eastAsia="仿宋_GB2312" w:cs="仿宋"/>
          <w:color w:val="auto"/>
          <w:sz w:val="32"/>
          <w:szCs w:val="32"/>
        </w:rPr>
        <w:t>在高新区政府和辖区中欧产业园两级政府的大力帮助和指导下，根据新旧动能转换先行区的新规划</w:t>
      </w:r>
      <w:r>
        <w:rPr>
          <w:rFonts w:hint="eastAsia" w:ascii="仿宋_GB2312" w:hAnsi="仿宋" w:eastAsia="仿宋_GB2312" w:cs="仿宋"/>
          <w:color w:val="auto"/>
          <w:sz w:val="32"/>
          <w:szCs w:val="32"/>
          <w:lang w:eastAsia="zh-CN"/>
        </w:rPr>
        <w:t>，</w:t>
      </w:r>
      <w:r>
        <w:rPr>
          <w:rFonts w:hint="eastAsia" w:ascii="仿宋_GB2312" w:hAnsi="仿宋" w:eastAsia="仿宋_GB2312" w:cs="仿宋"/>
          <w:color w:val="auto"/>
          <w:sz w:val="32"/>
          <w:szCs w:val="32"/>
        </w:rPr>
        <w:t>结合</w:t>
      </w:r>
      <w:r>
        <w:rPr>
          <w:rFonts w:hint="eastAsia" w:ascii="仿宋_GB2312" w:hAnsi="仿宋" w:eastAsia="仿宋_GB2312" w:cs="仿宋"/>
          <w:color w:val="auto"/>
          <w:sz w:val="32"/>
          <w:szCs w:val="32"/>
          <w:lang w:val="en-US" w:eastAsia="zh-CN"/>
        </w:rPr>
        <w:t>空港公司</w:t>
      </w:r>
      <w:r>
        <w:rPr>
          <w:rFonts w:hint="eastAsia" w:ascii="仿宋_GB2312" w:hAnsi="仿宋" w:eastAsia="仿宋_GB2312" w:cs="仿宋"/>
          <w:color w:val="auto"/>
          <w:sz w:val="32"/>
          <w:szCs w:val="32"/>
        </w:rPr>
        <w:t>资产经营发展实际，</w:t>
      </w:r>
      <w:r>
        <w:rPr>
          <w:rFonts w:hint="eastAsia" w:ascii="仿宋_GB2312" w:hAnsi="仿宋" w:eastAsia="仿宋_GB2312" w:cs="仿宋"/>
          <w:color w:val="auto"/>
          <w:sz w:val="32"/>
          <w:szCs w:val="32"/>
          <w:lang w:val="en-US" w:eastAsia="zh-CN"/>
        </w:rPr>
        <w:t>积极探索</w:t>
      </w:r>
      <w:r>
        <w:rPr>
          <w:rFonts w:hint="eastAsia" w:ascii="仿宋_GB2312" w:hAnsi="仿宋" w:eastAsia="仿宋_GB2312" w:cs="仿宋"/>
          <w:color w:val="auto"/>
          <w:sz w:val="32"/>
          <w:szCs w:val="32"/>
        </w:rPr>
        <w:t>产业园项目，符合企业所在区域经济发展的需要，实现资源优化配置，</w:t>
      </w:r>
      <w:r>
        <w:rPr>
          <w:rFonts w:hint="eastAsia" w:ascii="仿宋_GB2312" w:hAnsi="仿宋" w:eastAsia="仿宋_GB2312" w:cs="黑体"/>
          <w:b w:val="0"/>
          <w:color w:val="auto"/>
          <w:kern w:val="0"/>
          <w:sz w:val="32"/>
          <w:szCs w:val="32"/>
          <w:lang w:val="en-US" w:eastAsia="zh-CN" w:bidi="ar-SA"/>
        </w:rPr>
        <w:t>以新项目来推动</w:t>
      </w:r>
      <w:r>
        <w:rPr>
          <w:rFonts w:hint="eastAsia" w:ascii="仿宋_GB2312" w:hAnsi="仿宋" w:eastAsia="仿宋_GB2312" w:cs="仿宋"/>
          <w:color w:val="auto"/>
          <w:sz w:val="32"/>
          <w:szCs w:val="32"/>
        </w:rPr>
        <w:t>企业的再次腾飞。</w:t>
      </w:r>
    </w:p>
    <w:p>
      <w:pPr>
        <w:keepNext w:val="0"/>
        <w:keepLines w:val="0"/>
        <w:pageBreakBefore w:val="0"/>
        <w:numPr>
          <w:ilvl w:val="0"/>
          <w:numId w:val="0"/>
        </w:numPr>
        <w:kinsoku/>
        <w:wordWrap/>
        <w:overflowPunct/>
        <w:topLinePunct w:val="0"/>
        <w:autoSpaceDE/>
        <w:autoSpaceDN/>
        <w:bidi w:val="0"/>
        <w:adjustRightInd w:val="0"/>
        <w:snapToGrid w:val="0"/>
        <w:spacing w:line="600" w:lineRule="exact"/>
        <w:ind w:firstLine="643" w:firstLineChars="200"/>
        <w:textAlignment w:val="auto"/>
        <w:rPr>
          <w:rFonts w:ascii="仿宋_GB2312" w:hAnsi="仿宋" w:eastAsia="仿宋_GB2312" w:cs="仿宋"/>
          <w:b/>
          <w:color w:val="auto"/>
          <w:sz w:val="32"/>
          <w:szCs w:val="32"/>
        </w:rPr>
      </w:pPr>
      <w:r>
        <w:rPr>
          <w:rFonts w:hint="eastAsia" w:ascii="仿宋_GB2312" w:hAnsi="仿宋" w:eastAsia="仿宋_GB2312" w:cs="仿宋"/>
          <w:b/>
          <w:color w:val="auto"/>
          <w:sz w:val="32"/>
          <w:szCs w:val="32"/>
          <w:lang w:val="en-US" w:eastAsia="zh-CN"/>
        </w:rPr>
        <w:t>2、</w:t>
      </w:r>
      <w:r>
        <w:rPr>
          <w:rFonts w:hint="eastAsia" w:ascii="仿宋_GB2312" w:hAnsi="仿宋" w:eastAsia="仿宋_GB2312" w:cs="仿宋"/>
          <w:b/>
          <w:color w:val="auto"/>
          <w:sz w:val="32"/>
          <w:szCs w:val="32"/>
        </w:rPr>
        <w:t>五年发展目标</w:t>
      </w:r>
    </w:p>
    <w:p>
      <w:pPr>
        <w:pStyle w:val="7"/>
        <w:keepNext w:val="0"/>
        <w:keepLines w:val="0"/>
        <w:pageBreakBefore w:val="0"/>
        <w:shd w:val="clear" w:color="auto" w:fill="FFFFFF"/>
        <w:kinsoku/>
        <w:wordWrap/>
        <w:overflowPunct/>
        <w:topLinePunct w:val="0"/>
        <w:autoSpaceDE/>
        <w:autoSpaceDN/>
        <w:bidi w:val="0"/>
        <w:spacing w:before="0" w:beforeAutospacing="0" w:after="0" w:afterAutospacing="0" w:line="600" w:lineRule="exact"/>
        <w:ind w:firstLine="640" w:firstLineChars="200"/>
        <w:jc w:val="both"/>
        <w:textAlignment w:val="auto"/>
        <w:rPr>
          <w:rFonts w:hint="eastAsia" w:ascii="仿宋_GB2312" w:hAnsi="仿宋" w:eastAsia="仿宋_GB2312" w:cs="仿宋"/>
          <w:color w:val="auto"/>
          <w:sz w:val="32"/>
          <w:szCs w:val="32"/>
        </w:rPr>
      </w:pPr>
      <w:r>
        <w:rPr>
          <w:rFonts w:hint="eastAsia" w:ascii="仿宋_GB2312" w:hAnsi="仿宋" w:eastAsia="仿宋_GB2312" w:cs="仿宋"/>
          <w:b w:val="0"/>
          <w:color w:val="auto"/>
          <w:kern w:val="0"/>
          <w:sz w:val="32"/>
          <w:szCs w:val="32"/>
          <w:lang w:val="en-US" w:eastAsia="zh-CN" w:bidi="ar-SA"/>
        </w:rPr>
        <w:t>“十四五”时期是进入新发展阶段的重要时期，</w:t>
      </w:r>
      <w:r>
        <w:rPr>
          <w:rFonts w:hint="eastAsia" w:ascii="仿宋_GB2312" w:hAnsi="仿宋" w:eastAsia="仿宋_GB2312" w:cs="仿宋"/>
          <w:color w:val="auto"/>
          <w:sz w:val="32"/>
          <w:szCs w:val="32"/>
        </w:rPr>
        <w:t>公司正处于转型发展的关键时期，面对各种老问题、新困难和经营任务，紧紧围绕遗留问题处理、公司长远发展和当期经营三条主线开展工作</w:t>
      </w:r>
      <w:r>
        <w:rPr>
          <w:rFonts w:hint="eastAsia" w:ascii="仿宋_GB2312" w:hAnsi="仿宋" w:eastAsia="仿宋_GB2312" w:cs="仿宋"/>
          <w:color w:val="auto"/>
          <w:sz w:val="32"/>
          <w:szCs w:val="32"/>
          <w:lang w:eastAsia="zh-CN"/>
        </w:rPr>
        <w:t>，</w:t>
      </w:r>
      <w:r>
        <w:rPr>
          <w:rFonts w:hint="eastAsia" w:ascii="仿宋_GB2312" w:hAnsi="仿宋" w:eastAsia="仿宋_GB2312" w:cs="仿宋"/>
          <w:color w:val="auto"/>
          <w:sz w:val="32"/>
          <w:szCs w:val="32"/>
        </w:rPr>
        <w:t>充分发扬攻坚克难和干事创业的精神，</w:t>
      </w:r>
      <w:r>
        <w:rPr>
          <w:rFonts w:hint="eastAsia" w:ascii="仿宋_GB2312" w:hAnsi="仿宋" w:eastAsia="仿宋_GB2312" w:cs="仿宋"/>
          <w:color w:val="auto"/>
          <w:spacing w:val="8"/>
          <w:sz w:val="32"/>
          <w:szCs w:val="32"/>
          <w:shd w:val="clear" w:color="auto" w:fill="FFFFFF"/>
        </w:rPr>
        <w:t>认真开展各阶段工作，有序推进各项工作</w:t>
      </w:r>
      <w:r>
        <w:rPr>
          <w:rFonts w:hint="eastAsia" w:ascii="仿宋_GB2312" w:hAnsi="仿宋" w:eastAsia="仿宋_GB2312" w:cs="仿宋"/>
          <w:color w:val="auto"/>
          <w:sz w:val="32"/>
          <w:szCs w:val="32"/>
        </w:rPr>
        <w:t>。至“十四五”末，造纸主业力争实现生产量在全国进入特种纸行业排名前二十位，并获得行业内较高知名度</w:t>
      </w:r>
      <w:r>
        <w:rPr>
          <w:rFonts w:hint="eastAsia" w:ascii="仿宋_GB2312" w:hAnsi="仿宋" w:eastAsia="仿宋_GB2312" w:cs="仿宋"/>
          <w:color w:val="auto"/>
          <w:sz w:val="32"/>
          <w:szCs w:val="32"/>
          <w:lang w:eastAsia="zh-CN"/>
        </w:rPr>
        <w:t>，</w:t>
      </w:r>
      <w:r>
        <w:rPr>
          <w:rFonts w:hint="eastAsia" w:ascii="仿宋_GB2312" w:hAnsi="仿宋" w:eastAsia="仿宋_GB2312" w:cs="仿宋"/>
          <w:color w:val="auto"/>
          <w:sz w:val="32"/>
          <w:szCs w:val="32"/>
          <w:lang w:val="en-US" w:eastAsia="zh-CN"/>
        </w:rPr>
        <w:t>同时，</w:t>
      </w:r>
      <w:r>
        <w:rPr>
          <w:rFonts w:hint="eastAsia" w:ascii="仿宋_GB2312" w:hAnsi="仿宋" w:eastAsia="仿宋_GB2312" w:cs="仿宋"/>
          <w:color w:val="auto"/>
          <w:sz w:val="32"/>
          <w:szCs w:val="32"/>
        </w:rPr>
        <w:t>真正形成在国内有较大影响的特种纸生产基地，掀开济南造纸全新的历史篇章</w:t>
      </w:r>
      <w:r>
        <w:rPr>
          <w:rFonts w:hint="eastAsia" w:ascii="仿宋_GB2312" w:hAnsi="仿宋" w:eastAsia="仿宋_GB2312" w:cs="仿宋"/>
          <w:color w:val="auto"/>
          <w:sz w:val="32"/>
          <w:szCs w:val="32"/>
          <w:lang w:eastAsia="zh-CN"/>
        </w:rPr>
        <w:t>；</w:t>
      </w:r>
      <w:r>
        <w:rPr>
          <w:rFonts w:hint="eastAsia" w:ascii="仿宋_GB2312" w:hAnsi="仿宋" w:eastAsia="仿宋_GB2312" w:cs="仿宋"/>
          <w:color w:val="auto"/>
          <w:sz w:val="32"/>
          <w:szCs w:val="32"/>
        </w:rPr>
        <w:t>持续推进混合所有制改革，吸引战略者,引进资金，一揽子解决制约企业发展瓶颈问题，彻底消除内债，为企业发展扫清障碍</w:t>
      </w:r>
      <w:r>
        <w:rPr>
          <w:rFonts w:hint="eastAsia" w:ascii="仿宋_GB2312" w:hAnsi="仿宋" w:eastAsia="仿宋_GB2312" w:cs="仿宋"/>
          <w:color w:val="auto"/>
          <w:sz w:val="32"/>
          <w:szCs w:val="32"/>
          <w:lang w:eastAsia="zh-CN"/>
        </w:rPr>
        <w:t>；</w:t>
      </w:r>
      <w:r>
        <w:rPr>
          <w:rFonts w:hint="eastAsia" w:ascii="仿宋_GB2312" w:hAnsi="仿宋" w:eastAsia="仿宋_GB2312" w:cs="仿宋"/>
          <w:color w:val="auto"/>
          <w:sz w:val="32"/>
          <w:szCs w:val="32"/>
        </w:rPr>
        <w:t>坚持以项目为抓手，借助招商平台</w:t>
      </w:r>
      <w:r>
        <w:rPr>
          <w:rFonts w:hint="eastAsia" w:ascii="仿宋_GB2312" w:hAnsi="仿宋" w:eastAsia="仿宋_GB2312" w:cs="仿宋"/>
          <w:color w:val="auto"/>
          <w:sz w:val="32"/>
          <w:szCs w:val="32"/>
          <w:lang w:eastAsia="zh-CN"/>
        </w:rPr>
        <w:t>，</w:t>
      </w:r>
      <w:r>
        <w:rPr>
          <w:rFonts w:hint="eastAsia" w:ascii="仿宋_GB2312" w:hAnsi="仿宋" w:eastAsia="仿宋_GB2312" w:cs="仿宋"/>
          <w:color w:val="auto"/>
          <w:sz w:val="32"/>
          <w:szCs w:val="32"/>
        </w:rPr>
        <w:t>扩大市场规模，加大招商力度，适时引进配套专业市场，完善市场价格体系，提高企业现有资本运营效率。</w:t>
      </w:r>
    </w:p>
    <w:p>
      <w:pPr>
        <w:keepNext w:val="0"/>
        <w:keepLines w:val="0"/>
        <w:pageBreakBefore w:val="0"/>
        <w:numPr>
          <w:ilvl w:val="0"/>
          <w:numId w:val="0"/>
        </w:numPr>
        <w:kinsoku/>
        <w:wordWrap/>
        <w:overflowPunct/>
        <w:topLinePunct w:val="0"/>
        <w:autoSpaceDE/>
        <w:autoSpaceDN/>
        <w:bidi w:val="0"/>
        <w:adjustRightInd w:val="0"/>
        <w:snapToGrid w:val="0"/>
        <w:spacing w:line="600" w:lineRule="exact"/>
        <w:ind w:firstLine="643" w:firstLineChars="200"/>
        <w:textAlignment w:val="auto"/>
        <w:rPr>
          <w:rFonts w:hint="eastAsia" w:ascii="仿宋" w:hAnsi="仿宋" w:eastAsia="仿宋" w:cs="仿宋"/>
          <w:sz w:val="32"/>
          <w:szCs w:val="32"/>
        </w:rPr>
      </w:pPr>
      <w:r>
        <w:rPr>
          <w:rFonts w:hint="eastAsia" w:ascii="仿宋_GB2312" w:hAnsi="仿宋" w:eastAsia="仿宋_GB2312" w:cs="仿宋"/>
          <w:b/>
          <w:color w:val="auto"/>
          <w:sz w:val="32"/>
          <w:szCs w:val="32"/>
          <w:lang w:val="en-US" w:eastAsia="zh-CN"/>
        </w:rPr>
        <w:t>3、</w:t>
      </w:r>
      <w:r>
        <w:rPr>
          <w:rFonts w:hint="eastAsia" w:ascii="仿宋_GB2312" w:hAnsi="仿宋" w:eastAsia="仿宋_GB2312" w:cs="仿宋"/>
          <w:b/>
          <w:color w:val="auto"/>
          <w:sz w:val="32"/>
          <w:szCs w:val="32"/>
        </w:rPr>
        <w:t>发展规划目标</w:t>
      </w:r>
    </w:p>
    <w:p>
      <w:pPr>
        <w:tabs>
          <w:tab w:val="left" w:pos="0"/>
        </w:tabs>
        <w:adjustRightInd w:val="0"/>
        <w:snapToGrid w:val="0"/>
        <w:spacing w:line="400" w:lineRule="exact"/>
        <w:rPr>
          <w:rFonts w:ascii="宋体" w:hAnsi="宋体"/>
          <w:sz w:val="32"/>
          <w:szCs w:val="32"/>
        </w:rPr>
      </w:pPr>
      <w:r>
        <w:rPr>
          <w:rFonts w:hint="eastAsia" w:ascii="仿宋" w:hAnsi="仿宋" w:eastAsia="仿宋" w:cs="仿宋"/>
          <w:sz w:val="32"/>
          <w:szCs w:val="32"/>
        </w:rPr>
        <w:t>表3-1</w:t>
      </w:r>
      <w:r>
        <w:rPr>
          <w:rFonts w:hint="eastAsia" w:ascii="宋体" w:hAnsi="宋体"/>
          <w:sz w:val="32"/>
          <w:szCs w:val="32"/>
        </w:rPr>
        <w:t xml:space="preserve">          </w:t>
      </w:r>
      <w:r>
        <w:rPr>
          <w:rFonts w:hint="eastAsia" w:ascii="仿宋" w:hAnsi="仿宋" w:eastAsia="仿宋" w:cs="仿宋"/>
          <w:sz w:val="32"/>
          <w:szCs w:val="32"/>
        </w:rPr>
        <w:t>到2025年主业构成预测表</w:t>
      </w:r>
    </w:p>
    <w:tbl>
      <w:tblPr>
        <w:tblStyle w:val="8"/>
        <w:tblW w:w="8159"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3"/>
        <w:gridCol w:w="833"/>
        <w:gridCol w:w="721"/>
        <w:gridCol w:w="971"/>
        <w:gridCol w:w="777"/>
        <w:gridCol w:w="861"/>
        <w:gridCol w:w="825"/>
        <w:gridCol w:w="1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0" w:hRule="atLeast"/>
        </w:trPr>
        <w:tc>
          <w:tcPr>
            <w:tcW w:w="1943" w:type="dxa"/>
            <w:vMerge w:val="restart"/>
            <w:vAlign w:val="center"/>
          </w:tcPr>
          <w:p>
            <w:pPr>
              <w:snapToGrid w:val="0"/>
              <w:jc w:val="center"/>
              <w:rPr>
                <w:rFonts w:ascii="黑体" w:eastAsia="黑体"/>
                <w:sz w:val="24"/>
              </w:rPr>
            </w:pPr>
            <w:r>
              <w:rPr>
                <w:rFonts w:hint="eastAsia" w:ascii="黑体" w:eastAsia="黑体"/>
                <w:sz w:val="24"/>
              </w:rPr>
              <w:t>业务分类名称</w:t>
            </w:r>
          </w:p>
        </w:tc>
        <w:tc>
          <w:tcPr>
            <w:tcW w:w="1554" w:type="dxa"/>
            <w:gridSpan w:val="2"/>
            <w:vAlign w:val="center"/>
          </w:tcPr>
          <w:p>
            <w:pPr>
              <w:snapToGrid w:val="0"/>
              <w:jc w:val="center"/>
              <w:rPr>
                <w:rFonts w:ascii="黑体" w:eastAsia="黑体"/>
                <w:sz w:val="24"/>
              </w:rPr>
            </w:pPr>
            <w:r>
              <w:rPr>
                <w:rFonts w:hint="eastAsia" w:ascii="黑体" w:eastAsia="黑体"/>
                <w:sz w:val="24"/>
              </w:rPr>
              <w:t>资产</w:t>
            </w:r>
          </w:p>
        </w:tc>
        <w:tc>
          <w:tcPr>
            <w:tcW w:w="1748" w:type="dxa"/>
            <w:gridSpan w:val="2"/>
            <w:vAlign w:val="center"/>
          </w:tcPr>
          <w:p>
            <w:pPr>
              <w:snapToGrid w:val="0"/>
              <w:jc w:val="center"/>
              <w:rPr>
                <w:rFonts w:ascii="黑体" w:eastAsia="黑体"/>
                <w:sz w:val="24"/>
              </w:rPr>
            </w:pPr>
            <w:r>
              <w:rPr>
                <w:rFonts w:hint="eastAsia" w:ascii="黑体" w:eastAsia="黑体"/>
                <w:sz w:val="24"/>
              </w:rPr>
              <w:t>主营业务收入</w:t>
            </w:r>
          </w:p>
        </w:tc>
        <w:tc>
          <w:tcPr>
            <w:tcW w:w="1686" w:type="dxa"/>
            <w:gridSpan w:val="2"/>
            <w:vAlign w:val="center"/>
          </w:tcPr>
          <w:p>
            <w:pPr>
              <w:snapToGrid w:val="0"/>
              <w:jc w:val="center"/>
              <w:rPr>
                <w:rFonts w:ascii="黑体" w:eastAsia="黑体"/>
                <w:sz w:val="24"/>
              </w:rPr>
            </w:pPr>
            <w:r>
              <w:rPr>
                <w:rFonts w:hint="eastAsia" w:ascii="黑体" w:eastAsia="黑体"/>
                <w:sz w:val="24"/>
              </w:rPr>
              <w:t>利润总额</w:t>
            </w:r>
          </w:p>
        </w:tc>
        <w:tc>
          <w:tcPr>
            <w:tcW w:w="1228" w:type="dxa"/>
            <w:vMerge w:val="restart"/>
            <w:vAlign w:val="center"/>
          </w:tcPr>
          <w:p>
            <w:pPr>
              <w:snapToGrid w:val="0"/>
              <w:jc w:val="center"/>
              <w:rPr>
                <w:rFonts w:ascii="黑体" w:eastAsia="黑体"/>
                <w:sz w:val="24"/>
              </w:rPr>
            </w:pPr>
            <w:r>
              <w:rPr>
                <w:rFonts w:hint="eastAsia" w:ascii="黑体" w:eastAsia="黑体"/>
                <w:sz w:val="24"/>
              </w:rPr>
              <w:t>在职职工</w:t>
            </w:r>
          </w:p>
          <w:p>
            <w:pPr>
              <w:snapToGrid w:val="0"/>
              <w:jc w:val="center"/>
              <w:rPr>
                <w:rFonts w:ascii="黑体" w:eastAsia="黑体"/>
                <w:sz w:val="24"/>
              </w:rPr>
            </w:pPr>
            <w:r>
              <w:rPr>
                <w:rFonts w:hint="eastAsia" w:ascii="黑体" w:eastAsia="黑体"/>
                <w:sz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1943" w:type="dxa"/>
            <w:vMerge w:val="continue"/>
            <w:shd w:val="clear" w:color="auto" w:fill="auto"/>
            <w:vAlign w:val="center"/>
          </w:tcPr>
          <w:p>
            <w:pPr>
              <w:snapToGrid w:val="0"/>
              <w:jc w:val="center"/>
              <w:rPr>
                <w:rFonts w:ascii="黑体" w:eastAsia="黑体"/>
                <w:sz w:val="24"/>
              </w:rPr>
            </w:pPr>
          </w:p>
        </w:tc>
        <w:tc>
          <w:tcPr>
            <w:tcW w:w="833" w:type="dxa"/>
            <w:shd w:val="clear" w:color="auto" w:fill="auto"/>
            <w:vAlign w:val="center"/>
          </w:tcPr>
          <w:p>
            <w:pPr>
              <w:snapToGrid w:val="0"/>
              <w:jc w:val="center"/>
              <w:rPr>
                <w:rFonts w:ascii="黑体" w:eastAsia="黑体"/>
                <w:sz w:val="24"/>
              </w:rPr>
            </w:pPr>
            <w:r>
              <w:rPr>
                <w:rFonts w:hint="eastAsia" w:ascii="黑体" w:hAnsi="宋体" w:eastAsia="黑体"/>
                <w:bCs/>
                <w:spacing w:val="-20"/>
                <w:sz w:val="24"/>
              </w:rPr>
              <w:t>数 量(万元)</w:t>
            </w:r>
          </w:p>
        </w:tc>
        <w:tc>
          <w:tcPr>
            <w:tcW w:w="721" w:type="dxa"/>
            <w:shd w:val="clear" w:color="auto" w:fill="auto"/>
            <w:vAlign w:val="center"/>
          </w:tcPr>
          <w:p>
            <w:pPr>
              <w:snapToGrid w:val="0"/>
              <w:jc w:val="center"/>
              <w:rPr>
                <w:rFonts w:ascii="黑体" w:eastAsia="黑体"/>
                <w:sz w:val="24"/>
              </w:rPr>
            </w:pPr>
            <w:r>
              <w:rPr>
                <w:rFonts w:hint="eastAsia" w:ascii="黑体" w:hAnsi="宋体" w:eastAsia="黑体"/>
                <w:bCs/>
                <w:spacing w:val="-20"/>
                <w:sz w:val="24"/>
              </w:rPr>
              <w:t>比重（％）</w:t>
            </w:r>
          </w:p>
        </w:tc>
        <w:tc>
          <w:tcPr>
            <w:tcW w:w="971" w:type="dxa"/>
            <w:shd w:val="clear" w:color="auto" w:fill="auto"/>
            <w:vAlign w:val="center"/>
          </w:tcPr>
          <w:p>
            <w:pPr>
              <w:snapToGrid w:val="0"/>
              <w:jc w:val="center"/>
              <w:rPr>
                <w:rFonts w:ascii="黑体" w:hAnsi="宋体" w:eastAsia="黑体"/>
                <w:bCs/>
                <w:spacing w:val="-20"/>
                <w:sz w:val="24"/>
              </w:rPr>
            </w:pPr>
            <w:r>
              <w:rPr>
                <w:rFonts w:hint="eastAsia" w:ascii="黑体" w:hAnsi="宋体" w:eastAsia="黑体"/>
                <w:bCs/>
                <w:spacing w:val="-20"/>
                <w:sz w:val="24"/>
              </w:rPr>
              <w:t>数 量</w:t>
            </w:r>
          </w:p>
          <w:p>
            <w:pPr>
              <w:snapToGrid w:val="0"/>
              <w:jc w:val="center"/>
              <w:rPr>
                <w:rFonts w:ascii="黑体" w:eastAsia="黑体"/>
                <w:sz w:val="24"/>
              </w:rPr>
            </w:pPr>
            <w:r>
              <w:rPr>
                <w:rFonts w:hint="eastAsia" w:ascii="黑体" w:hAnsi="宋体" w:eastAsia="黑体"/>
                <w:bCs/>
                <w:spacing w:val="-20"/>
                <w:sz w:val="24"/>
              </w:rPr>
              <w:t>(万元)</w:t>
            </w:r>
          </w:p>
        </w:tc>
        <w:tc>
          <w:tcPr>
            <w:tcW w:w="777" w:type="dxa"/>
            <w:shd w:val="clear" w:color="auto" w:fill="auto"/>
            <w:vAlign w:val="center"/>
          </w:tcPr>
          <w:p>
            <w:pPr>
              <w:snapToGrid w:val="0"/>
              <w:jc w:val="center"/>
              <w:rPr>
                <w:rFonts w:ascii="黑体" w:eastAsia="黑体"/>
                <w:sz w:val="24"/>
              </w:rPr>
            </w:pPr>
            <w:r>
              <w:rPr>
                <w:rFonts w:hint="eastAsia" w:ascii="黑体" w:hAnsi="宋体" w:eastAsia="黑体"/>
                <w:bCs/>
                <w:spacing w:val="-20"/>
                <w:sz w:val="24"/>
              </w:rPr>
              <w:t>比重（％）</w:t>
            </w:r>
          </w:p>
        </w:tc>
        <w:tc>
          <w:tcPr>
            <w:tcW w:w="861" w:type="dxa"/>
            <w:shd w:val="clear" w:color="auto" w:fill="auto"/>
            <w:vAlign w:val="center"/>
          </w:tcPr>
          <w:p>
            <w:pPr>
              <w:snapToGrid w:val="0"/>
              <w:jc w:val="center"/>
              <w:rPr>
                <w:rFonts w:ascii="黑体" w:eastAsia="黑体"/>
                <w:sz w:val="24"/>
              </w:rPr>
            </w:pPr>
            <w:r>
              <w:rPr>
                <w:rFonts w:hint="eastAsia" w:ascii="黑体" w:hAnsi="宋体" w:eastAsia="黑体"/>
                <w:bCs/>
                <w:spacing w:val="-20"/>
                <w:sz w:val="24"/>
              </w:rPr>
              <w:t>数 量(万元)</w:t>
            </w:r>
          </w:p>
        </w:tc>
        <w:tc>
          <w:tcPr>
            <w:tcW w:w="825" w:type="dxa"/>
            <w:shd w:val="clear" w:color="auto" w:fill="auto"/>
            <w:vAlign w:val="center"/>
          </w:tcPr>
          <w:p>
            <w:pPr>
              <w:snapToGrid w:val="0"/>
              <w:jc w:val="center"/>
              <w:rPr>
                <w:rFonts w:ascii="黑体" w:eastAsia="黑体"/>
                <w:sz w:val="24"/>
              </w:rPr>
            </w:pPr>
            <w:r>
              <w:rPr>
                <w:rFonts w:hint="eastAsia" w:ascii="黑体" w:hAnsi="宋体" w:eastAsia="黑体"/>
                <w:bCs/>
                <w:spacing w:val="-20"/>
                <w:sz w:val="24"/>
              </w:rPr>
              <w:t>比重（％）</w:t>
            </w:r>
          </w:p>
        </w:tc>
        <w:tc>
          <w:tcPr>
            <w:tcW w:w="1228" w:type="dxa"/>
            <w:vMerge w:val="continue"/>
            <w:vAlign w:val="center"/>
          </w:tcPr>
          <w:p>
            <w:pPr>
              <w:snapToGrid w:val="0"/>
              <w:jc w:val="center"/>
              <w:rPr>
                <w:rFonts w:ascii="黑体" w:eastAsia="黑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 w:hRule="atLeast"/>
        </w:trPr>
        <w:tc>
          <w:tcPr>
            <w:tcW w:w="1943" w:type="dxa"/>
            <w:shd w:val="clear" w:color="auto" w:fill="auto"/>
            <w:vAlign w:val="center"/>
          </w:tcPr>
          <w:p>
            <w:pPr>
              <w:snapToGrid w:val="0"/>
              <w:rPr>
                <w:rFonts w:ascii="黑体" w:eastAsia="黑体"/>
                <w:sz w:val="24"/>
              </w:rPr>
            </w:pPr>
            <w:r>
              <w:rPr>
                <w:rFonts w:hint="eastAsia" w:ascii="黑体" w:eastAsia="黑体"/>
                <w:sz w:val="24"/>
              </w:rPr>
              <w:t>主业：</w:t>
            </w:r>
          </w:p>
        </w:tc>
        <w:tc>
          <w:tcPr>
            <w:tcW w:w="833" w:type="dxa"/>
            <w:shd w:val="clear" w:color="auto" w:fill="auto"/>
            <w:vAlign w:val="center"/>
          </w:tcPr>
          <w:p>
            <w:pPr>
              <w:snapToGrid w:val="0"/>
              <w:rPr>
                <w:rFonts w:ascii="黑体" w:eastAsia="黑体"/>
                <w:sz w:val="24"/>
              </w:rPr>
            </w:pPr>
          </w:p>
        </w:tc>
        <w:tc>
          <w:tcPr>
            <w:tcW w:w="721" w:type="dxa"/>
            <w:shd w:val="clear" w:color="auto" w:fill="auto"/>
            <w:vAlign w:val="center"/>
          </w:tcPr>
          <w:p>
            <w:pPr>
              <w:snapToGrid w:val="0"/>
              <w:rPr>
                <w:rFonts w:ascii="黑体" w:eastAsia="黑体"/>
                <w:sz w:val="24"/>
              </w:rPr>
            </w:pPr>
          </w:p>
        </w:tc>
        <w:tc>
          <w:tcPr>
            <w:tcW w:w="971" w:type="dxa"/>
            <w:shd w:val="clear" w:color="auto" w:fill="auto"/>
            <w:vAlign w:val="center"/>
          </w:tcPr>
          <w:p>
            <w:pPr>
              <w:snapToGrid w:val="0"/>
              <w:jc w:val="center"/>
              <w:rPr>
                <w:rFonts w:ascii="黑体" w:eastAsia="黑体"/>
                <w:sz w:val="24"/>
              </w:rPr>
            </w:pPr>
            <w:r>
              <w:rPr>
                <w:rFonts w:hint="eastAsia" w:ascii="黑体" w:eastAsia="黑体"/>
                <w:sz w:val="24"/>
              </w:rPr>
              <w:t>31000</w:t>
            </w:r>
          </w:p>
        </w:tc>
        <w:tc>
          <w:tcPr>
            <w:tcW w:w="777" w:type="dxa"/>
            <w:shd w:val="clear" w:color="auto" w:fill="auto"/>
            <w:vAlign w:val="center"/>
          </w:tcPr>
          <w:p>
            <w:pPr>
              <w:snapToGrid w:val="0"/>
              <w:rPr>
                <w:rFonts w:ascii="黑体" w:eastAsia="黑体"/>
                <w:sz w:val="24"/>
              </w:rPr>
            </w:pPr>
          </w:p>
        </w:tc>
        <w:tc>
          <w:tcPr>
            <w:tcW w:w="861" w:type="dxa"/>
            <w:shd w:val="clear" w:color="auto" w:fill="auto"/>
            <w:vAlign w:val="center"/>
          </w:tcPr>
          <w:p>
            <w:pPr>
              <w:snapToGrid w:val="0"/>
              <w:jc w:val="center"/>
              <w:rPr>
                <w:rFonts w:ascii="黑体" w:eastAsia="黑体"/>
                <w:color w:val="auto"/>
                <w:sz w:val="24"/>
              </w:rPr>
            </w:pPr>
            <w:r>
              <w:rPr>
                <w:rFonts w:hint="eastAsia" w:ascii="黑体" w:eastAsia="黑体"/>
                <w:color w:val="auto"/>
                <w:sz w:val="24"/>
              </w:rPr>
              <w:t>700</w:t>
            </w:r>
          </w:p>
        </w:tc>
        <w:tc>
          <w:tcPr>
            <w:tcW w:w="825" w:type="dxa"/>
            <w:shd w:val="clear" w:color="auto" w:fill="auto"/>
            <w:vAlign w:val="center"/>
          </w:tcPr>
          <w:p>
            <w:pPr>
              <w:snapToGrid w:val="0"/>
              <w:jc w:val="center"/>
              <w:rPr>
                <w:rFonts w:ascii="黑体" w:eastAsia="黑体"/>
                <w:color w:val="auto"/>
                <w:sz w:val="24"/>
              </w:rPr>
            </w:pPr>
          </w:p>
        </w:tc>
        <w:tc>
          <w:tcPr>
            <w:tcW w:w="1228" w:type="dxa"/>
            <w:shd w:val="clear" w:color="auto" w:fill="auto"/>
            <w:vAlign w:val="center"/>
          </w:tcPr>
          <w:p>
            <w:pPr>
              <w:snapToGrid w:val="0"/>
              <w:jc w:val="center"/>
              <w:rPr>
                <w:rFonts w:hint="default" w:ascii="黑体" w:eastAsia="黑体"/>
                <w:color w:val="auto"/>
                <w:sz w:val="24"/>
                <w:lang w:val="en-US" w:eastAsia="zh-CN"/>
              </w:rPr>
            </w:pPr>
            <w:r>
              <w:rPr>
                <w:rFonts w:hint="eastAsia" w:ascii="黑体" w:eastAsia="黑体"/>
                <w:color w:val="auto"/>
                <w:sz w:val="24"/>
                <w:lang w:val="en-US"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 w:hRule="atLeast"/>
        </w:trPr>
        <w:tc>
          <w:tcPr>
            <w:tcW w:w="1943" w:type="dxa"/>
            <w:shd w:val="clear" w:color="auto" w:fill="auto"/>
          </w:tcPr>
          <w:p>
            <w:pPr>
              <w:snapToGrid w:val="0"/>
              <w:rPr>
                <w:rFonts w:ascii="黑体" w:eastAsia="黑体"/>
                <w:sz w:val="24"/>
              </w:rPr>
            </w:pPr>
            <w:r>
              <w:rPr>
                <w:rFonts w:hint="eastAsia" w:ascii="黑体" w:eastAsia="黑体"/>
                <w:sz w:val="24"/>
              </w:rPr>
              <w:t>羊皮纸</w:t>
            </w:r>
          </w:p>
        </w:tc>
        <w:tc>
          <w:tcPr>
            <w:tcW w:w="833" w:type="dxa"/>
            <w:shd w:val="clear" w:color="auto" w:fill="auto"/>
          </w:tcPr>
          <w:p>
            <w:pPr>
              <w:snapToGrid w:val="0"/>
              <w:rPr>
                <w:rFonts w:ascii="黑体" w:eastAsia="黑体"/>
                <w:sz w:val="24"/>
              </w:rPr>
            </w:pPr>
          </w:p>
        </w:tc>
        <w:tc>
          <w:tcPr>
            <w:tcW w:w="721" w:type="dxa"/>
            <w:shd w:val="clear" w:color="auto" w:fill="auto"/>
          </w:tcPr>
          <w:p>
            <w:pPr>
              <w:snapToGrid w:val="0"/>
              <w:rPr>
                <w:rFonts w:ascii="黑体" w:eastAsia="黑体"/>
                <w:sz w:val="24"/>
              </w:rPr>
            </w:pPr>
          </w:p>
        </w:tc>
        <w:tc>
          <w:tcPr>
            <w:tcW w:w="971" w:type="dxa"/>
            <w:shd w:val="clear" w:color="auto" w:fill="auto"/>
          </w:tcPr>
          <w:p>
            <w:pPr>
              <w:snapToGrid w:val="0"/>
              <w:jc w:val="center"/>
              <w:rPr>
                <w:rFonts w:ascii="黑体" w:eastAsia="黑体"/>
                <w:sz w:val="24"/>
              </w:rPr>
            </w:pPr>
            <w:r>
              <w:rPr>
                <w:rFonts w:hint="eastAsia" w:ascii="黑体" w:eastAsia="黑体"/>
                <w:sz w:val="24"/>
              </w:rPr>
              <w:t>11000</w:t>
            </w:r>
          </w:p>
        </w:tc>
        <w:tc>
          <w:tcPr>
            <w:tcW w:w="777" w:type="dxa"/>
            <w:shd w:val="clear" w:color="auto" w:fill="auto"/>
          </w:tcPr>
          <w:p>
            <w:pPr>
              <w:snapToGrid w:val="0"/>
              <w:rPr>
                <w:rFonts w:ascii="黑体" w:eastAsia="黑体"/>
                <w:sz w:val="24"/>
              </w:rPr>
            </w:pPr>
          </w:p>
        </w:tc>
        <w:tc>
          <w:tcPr>
            <w:tcW w:w="861" w:type="dxa"/>
            <w:shd w:val="clear" w:color="auto" w:fill="auto"/>
          </w:tcPr>
          <w:p>
            <w:pPr>
              <w:snapToGrid w:val="0"/>
              <w:jc w:val="center"/>
              <w:rPr>
                <w:rFonts w:ascii="黑体" w:eastAsia="黑体"/>
                <w:color w:val="auto"/>
                <w:sz w:val="24"/>
              </w:rPr>
            </w:pPr>
            <w:r>
              <w:rPr>
                <w:rFonts w:hint="eastAsia" w:ascii="黑体" w:eastAsia="黑体"/>
                <w:color w:val="auto"/>
                <w:sz w:val="24"/>
              </w:rPr>
              <w:t>50</w:t>
            </w:r>
            <w:bookmarkStart w:id="0" w:name="_GoBack"/>
            <w:bookmarkEnd w:id="0"/>
            <w:r>
              <w:rPr>
                <w:rFonts w:hint="eastAsia" w:ascii="黑体" w:eastAsia="黑体"/>
                <w:color w:val="auto"/>
                <w:sz w:val="24"/>
              </w:rPr>
              <w:t>0</w:t>
            </w:r>
          </w:p>
        </w:tc>
        <w:tc>
          <w:tcPr>
            <w:tcW w:w="825" w:type="dxa"/>
            <w:shd w:val="clear" w:color="auto" w:fill="auto"/>
          </w:tcPr>
          <w:p>
            <w:pPr>
              <w:snapToGrid w:val="0"/>
              <w:jc w:val="center"/>
              <w:rPr>
                <w:rFonts w:ascii="黑体" w:eastAsia="黑体"/>
                <w:color w:val="auto"/>
                <w:sz w:val="24"/>
              </w:rPr>
            </w:pPr>
          </w:p>
        </w:tc>
        <w:tc>
          <w:tcPr>
            <w:tcW w:w="1228" w:type="dxa"/>
            <w:shd w:val="clear" w:color="auto" w:fill="auto"/>
          </w:tcPr>
          <w:p>
            <w:pPr>
              <w:snapToGrid w:val="0"/>
              <w:jc w:val="center"/>
              <w:rPr>
                <w:rFonts w:hint="default" w:ascii="黑体" w:eastAsia="黑体"/>
                <w:color w:val="auto"/>
                <w:sz w:val="24"/>
                <w:lang w:val="en-US" w:eastAsia="zh-CN"/>
              </w:rPr>
            </w:pPr>
            <w:r>
              <w:rPr>
                <w:rFonts w:hint="eastAsia" w:ascii="黑体" w:eastAsia="黑体"/>
                <w:color w:val="auto"/>
                <w:sz w:val="24"/>
              </w:rPr>
              <w:t>1</w:t>
            </w:r>
            <w:r>
              <w:rPr>
                <w:rFonts w:hint="eastAsia" w:ascii="黑体" w:eastAsia="黑体"/>
                <w:color w:val="auto"/>
                <w:sz w:val="24"/>
                <w:lang w:val="en-US" w:eastAsia="zh-CN"/>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1" w:hRule="atLeast"/>
        </w:trPr>
        <w:tc>
          <w:tcPr>
            <w:tcW w:w="1943" w:type="dxa"/>
            <w:shd w:val="clear" w:color="auto" w:fill="auto"/>
          </w:tcPr>
          <w:p>
            <w:pPr>
              <w:snapToGrid w:val="0"/>
              <w:rPr>
                <w:rFonts w:ascii="黑体" w:eastAsia="黑体"/>
                <w:sz w:val="24"/>
              </w:rPr>
            </w:pPr>
            <w:r>
              <w:rPr>
                <w:rFonts w:hint="eastAsia" w:ascii="黑体" w:eastAsia="黑体"/>
                <w:sz w:val="24"/>
              </w:rPr>
              <w:t>高档文化纸</w:t>
            </w:r>
          </w:p>
        </w:tc>
        <w:tc>
          <w:tcPr>
            <w:tcW w:w="833" w:type="dxa"/>
            <w:shd w:val="clear" w:color="auto" w:fill="auto"/>
          </w:tcPr>
          <w:p>
            <w:pPr>
              <w:snapToGrid w:val="0"/>
              <w:rPr>
                <w:rFonts w:ascii="黑体" w:eastAsia="黑体"/>
                <w:sz w:val="24"/>
              </w:rPr>
            </w:pPr>
          </w:p>
        </w:tc>
        <w:tc>
          <w:tcPr>
            <w:tcW w:w="721" w:type="dxa"/>
            <w:shd w:val="clear" w:color="auto" w:fill="auto"/>
          </w:tcPr>
          <w:p>
            <w:pPr>
              <w:snapToGrid w:val="0"/>
              <w:rPr>
                <w:rFonts w:ascii="黑体" w:eastAsia="黑体"/>
                <w:sz w:val="24"/>
              </w:rPr>
            </w:pPr>
          </w:p>
        </w:tc>
        <w:tc>
          <w:tcPr>
            <w:tcW w:w="971" w:type="dxa"/>
            <w:shd w:val="clear" w:color="auto" w:fill="auto"/>
          </w:tcPr>
          <w:p>
            <w:pPr>
              <w:snapToGrid w:val="0"/>
              <w:jc w:val="center"/>
              <w:rPr>
                <w:rFonts w:ascii="黑体" w:eastAsia="黑体"/>
                <w:sz w:val="24"/>
              </w:rPr>
            </w:pPr>
            <w:r>
              <w:rPr>
                <w:rFonts w:hint="eastAsia" w:ascii="黑体" w:eastAsia="黑体"/>
                <w:sz w:val="24"/>
              </w:rPr>
              <w:t>20000</w:t>
            </w:r>
          </w:p>
        </w:tc>
        <w:tc>
          <w:tcPr>
            <w:tcW w:w="777" w:type="dxa"/>
            <w:shd w:val="clear" w:color="auto" w:fill="auto"/>
          </w:tcPr>
          <w:p>
            <w:pPr>
              <w:snapToGrid w:val="0"/>
              <w:rPr>
                <w:rFonts w:ascii="黑体" w:eastAsia="黑体"/>
                <w:sz w:val="24"/>
              </w:rPr>
            </w:pPr>
          </w:p>
        </w:tc>
        <w:tc>
          <w:tcPr>
            <w:tcW w:w="861" w:type="dxa"/>
            <w:shd w:val="clear" w:color="auto" w:fill="auto"/>
          </w:tcPr>
          <w:p>
            <w:pPr>
              <w:snapToGrid w:val="0"/>
              <w:jc w:val="center"/>
              <w:rPr>
                <w:rFonts w:ascii="黑体" w:eastAsia="黑体"/>
                <w:color w:val="auto"/>
                <w:sz w:val="24"/>
              </w:rPr>
            </w:pPr>
            <w:r>
              <w:rPr>
                <w:rFonts w:hint="eastAsia" w:ascii="黑体" w:eastAsia="黑体"/>
                <w:color w:val="auto"/>
                <w:sz w:val="24"/>
              </w:rPr>
              <w:t>200</w:t>
            </w:r>
          </w:p>
        </w:tc>
        <w:tc>
          <w:tcPr>
            <w:tcW w:w="825" w:type="dxa"/>
            <w:shd w:val="clear" w:color="auto" w:fill="auto"/>
          </w:tcPr>
          <w:p>
            <w:pPr>
              <w:snapToGrid w:val="0"/>
              <w:jc w:val="center"/>
              <w:rPr>
                <w:rFonts w:ascii="黑体" w:eastAsia="黑体"/>
                <w:color w:val="auto"/>
                <w:sz w:val="24"/>
              </w:rPr>
            </w:pPr>
          </w:p>
        </w:tc>
        <w:tc>
          <w:tcPr>
            <w:tcW w:w="1228" w:type="dxa"/>
            <w:shd w:val="clear" w:color="auto" w:fill="auto"/>
          </w:tcPr>
          <w:p>
            <w:pPr>
              <w:snapToGrid w:val="0"/>
              <w:jc w:val="center"/>
              <w:rPr>
                <w:rFonts w:hint="default" w:ascii="黑体" w:eastAsia="黑体"/>
                <w:color w:val="auto"/>
                <w:sz w:val="24"/>
                <w:lang w:val="en-US" w:eastAsia="zh-CN"/>
              </w:rPr>
            </w:pPr>
            <w:r>
              <w:rPr>
                <w:rFonts w:hint="eastAsia" w:ascii="黑体" w:eastAsia="黑体"/>
                <w:color w:val="auto"/>
                <w:sz w:val="24"/>
              </w:rPr>
              <w:t>1</w:t>
            </w:r>
            <w:r>
              <w:rPr>
                <w:rFonts w:hint="eastAsia" w:ascii="黑体" w:eastAsia="黑体"/>
                <w:color w:val="auto"/>
                <w:sz w:val="24"/>
                <w:lang w:val="en-US" w:eastAsia="zh-CN"/>
              </w:rPr>
              <w:t>00</w:t>
            </w:r>
          </w:p>
        </w:tc>
      </w:tr>
    </w:tbl>
    <w:p>
      <w:pPr>
        <w:adjustRightInd w:val="0"/>
        <w:snapToGrid w:val="0"/>
        <w:spacing w:line="400" w:lineRule="exact"/>
        <w:rPr>
          <w:rFonts w:ascii="仿宋_GB2312" w:eastAsia="仿宋_GB2312"/>
          <w:sz w:val="32"/>
          <w:szCs w:val="32"/>
        </w:rPr>
      </w:pPr>
    </w:p>
    <w:p>
      <w:pPr>
        <w:adjustRightInd w:val="0"/>
        <w:snapToGrid w:val="0"/>
        <w:spacing w:line="400" w:lineRule="exact"/>
        <w:ind w:firstLine="640" w:firstLineChars="200"/>
        <w:rPr>
          <w:rFonts w:ascii="仿宋" w:hAnsi="仿宋" w:eastAsia="仿宋" w:cs="仿宋"/>
          <w:sz w:val="32"/>
          <w:szCs w:val="32"/>
        </w:rPr>
      </w:pPr>
      <w:r>
        <w:rPr>
          <w:rFonts w:hint="eastAsia" w:ascii="仿宋" w:hAnsi="仿宋" w:eastAsia="仿宋" w:cs="仿宋"/>
          <w:sz w:val="32"/>
          <w:szCs w:val="32"/>
        </w:rPr>
        <w:t>表3-2　</w:t>
      </w:r>
      <w:r>
        <w:rPr>
          <w:rFonts w:hint="eastAsia" w:ascii="宋体" w:hAnsi="宋体"/>
          <w:sz w:val="32"/>
          <w:szCs w:val="32"/>
        </w:rPr>
        <w:t xml:space="preserve">  </w:t>
      </w:r>
      <w:r>
        <w:rPr>
          <w:rFonts w:hint="eastAsia" w:ascii="宋体" w:hAnsi="宋体"/>
          <w:sz w:val="32"/>
          <w:szCs w:val="32"/>
          <w:lang w:val="en-US" w:eastAsia="zh-CN"/>
        </w:rPr>
        <w:t xml:space="preserve">   </w:t>
      </w:r>
      <w:r>
        <w:rPr>
          <w:rFonts w:hint="eastAsia" w:ascii="宋体" w:hAnsi="宋体"/>
          <w:sz w:val="32"/>
          <w:szCs w:val="32"/>
        </w:rPr>
        <w:t xml:space="preserve"> </w:t>
      </w:r>
      <w:r>
        <w:rPr>
          <w:rFonts w:hint="eastAsia" w:ascii="仿宋" w:hAnsi="仿宋" w:eastAsia="仿宋" w:cs="仿宋"/>
          <w:sz w:val="32"/>
          <w:szCs w:val="32"/>
        </w:rPr>
        <w:t>规划期主要产品（业务）量</w:t>
      </w:r>
    </w:p>
    <w:tbl>
      <w:tblPr>
        <w:tblStyle w:val="8"/>
        <w:tblW w:w="8778"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1977"/>
        <w:gridCol w:w="1024"/>
        <w:gridCol w:w="1024"/>
        <w:gridCol w:w="1024"/>
        <w:gridCol w:w="1025"/>
        <w:gridCol w:w="1024"/>
        <w:gridCol w:w="1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656" w:type="dxa"/>
            <w:vMerge w:val="restart"/>
            <w:noWrap w:val="0"/>
            <w:vAlign w:val="center"/>
          </w:tcPr>
          <w:p>
            <w:pPr>
              <w:adjustRightInd w:val="0"/>
              <w:snapToGrid w:val="0"/>
              <w:jc w:val="center"/>
              <w:rPr>
                <w:rFonts w:hint="eastAsia" w:ascii="黑体" w:eastAsia="黑体"/>
                <w:szCs w:val="21"/>
              </w:rPr>
            </w:pPr>
            <w:r>
              <w:rPr>
                <w:rFonts w:hint="eastAsia" w:ascii="黑体" w:eastAsia="黑体"/>
                <w:szCs w:val="21"/>
              </w:rPr>
              <w:t>序号</w:t>
            </w:r>
          </w:p>
        </w:tc>
        <w:tc>
          <w:tcPr>
            <w:tcW w:w="1977" w:type="dxa"/>
            <w:vMerge w:val="restart"/>
            <w:noWrap w:val="0"/>
            <w:vAlign w:val="center"/>
          </w:tcPr>
          <w:p>
            <w:pPr>
              <w:adjustRightInd w:val="0"/>
              <w:snapToGrid w:val="0"/>
              <w:jc w:val="center"/>
              <w:rPr>
                <w:rFonts w:hint="eastAsia" w:ascii="黑体" w:eastAsia="黑体"/>
                <w:szCs w:val="21"/>
              </w:rPr>
            </w:pPr>
            <w:r>
              <w:rPr>
                <w:rFonts w:hint="eastAsia" w:ascii="黑体" w:eastAsia="黑体"/>
                <w:szCs w:val="21"/>
              </w:rPr>
              <w:t>产品（业务）名称</w:t>
            </w:r>
          </w:p>
        </w:tc>
        <w:tc>
          <w:tcPr>
            <w:tcW w:w="1024" w:type="dxa"/>
            <w:vMerge w:val="restart"/>
            <w:noWrap w:val="0"/>
            <w:vAlign w:val="center"/>
          </w:tcPr>
          <w:p>
            <w:pPr>
              <w:adjustRightInd w:val="0"/>
              <w:snapToGrid w:val="0"/>
              <w:jc w:val="center"/>
              <w:rPr>
                <w:rFonts w:hint="eastAsia" w:ascii="黑体" w:eastAsia="黑体"/>
                <w:szCs w:val="21"/>
              </w:rPr>
            </w:pPr>
            <w:r>
              <w:rPr>
                <w:rFonts w:hint="eastAsia" w:ascii="黑体" w:eastAsia="黑体"/>
                <w:szCs w:val="21"/>
              </w:rPr>
              <w:t>单位</w:t>
            </w:r>
          </w:p>
        </w:tc>
        <w:tc>
          <w:tcPr>
            <w:tcW w:w="5121" w:type="dxa"/>
            <w:gridSpan w:val="5"/>
            <w:noWrap w:val="0"/>
            <w:vAlign w:val="top"/>
          </w:tcPr>
          <w:p>
            <w:pPr>
              <w:adjustRightInd w:val="0"/>
              <w:snapToGrid w:val="0"/>
              <w:jc w:val="center"/>
              <w:rPr>
                <w:rFonts w:hint="eastAsia" w:ascii="黑体" w:eastAsia="黑体"/>
                <w:szCs w:val="21"/>
              </w:rPr>
            </w:pPr>
            <w:r>
              <w:rPr>
                <w:rFonts w:hint="eastAsia" w:ascii="黑体" w:eastAsia="黑体"/>
                <w:szCs w:val="21"/>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656" w:type="dxa"/>
            <w:vMerge w:val="continue"/>
            <w:noWrap w:val="0"/>
            <w:vAlign w:val="center"/>
          </w:tcPr>
          <w:p>
            <w:pPr>
              <w:adjustRightInd w:val="0"/>
              <w:snapToGrid w:val="0"/>
              <w:jc w:val="center"/>
              <w:rPr>
                <w:rFonts w:hint="eastAsia" w:ascii="黑体" w:eastAsia="黑体"/>
                <w:szCs w:val="21"/>
              </w:rPr>
            </w:pPr>
          </w:p>
        </w:tc>
        <w:tc>
          <w:tcPr>
            <w:tcW w:w="1977" w:type="dxa"/>
            <w:vMerge w:val="continue"/>
            <w:noWrap w:val="0"/>
            <w:vAlign w:val="center"/>
          </w:tcPr>
          <w:p>
            <w:pPr>
              <w:adjustRightInd w:val="0"/>
              <w:snapToGrid w:val="0"/>
              <w:jc w:val="center"/>
              <w:rPr>
                <w:rFonts w:hint="eastAsia" w:ascii="黑体" w:eastAsia="黑体"/>
                <w:szCs w:val="21"/>
              </w:rPr>
            </w:pPr>
          </w:p>
        </w:tc>
        <w:tc>
          <w:tcPr>
            <w:tcW w:w="1024" w:type="dxa"/>
            <w:vMerge w:val="continue"/>
            <w:noWrap w:val="0"/>
            <w:vAlign w:val="top"/>
          </w:tcPr>
          <w:p>
            <w:pPr>
              <w:adjustRightInd w:val="0"/>
              <w:snapToGrid w:val="0"/>
              <w:jc w:val="center"/>
              <w:rPr>
                <w:rFonts w:hint="eastAsia" w:ascii="黑体" w:eastAsia="黑体"/>
                <w:szCs w:val="21"/>
              </w:rPr>
            </w:pPr>
          </w:p>
        </w:tc>
        <w:tc>
          <w:tcPr>
            <w:tcW w:w="1024" w:type="dxa"/>
            <w:noWrap w:val="0"/>
            <w:vAlign w:val="center"/>
          </w:tcPr>
          <w:p>
            <w:pPr>
              <w:adjustRightInd w:val="0"/>
              <w:snapToGrid w:val="0"/>
              <w:jc w:val="center"/>
              <w:rPr>
                <w:rFonts w:hint="eastAsia" w:ascii="黑体" w:eastAsia="黑体"/>
                <w:szCs w:val="21"/>
              </w:rPr>
            </w:pPr>
            <w:r>
              <w:rPr>
                <w:rFonts w:hint="eastAsia" w:ascii="黑体" w:eastAsia="黑体"/>
                <w:szCs w:val="21"/>
              </w:rPr>
              <w:t>2021年</w:t>
            </w:r>
          </w:p>
        </w:tc>
        <w:tc>
          <w:tcPr>
            <w:tcW w:w="1024" w:type="dxa"/>
            <w:noWrap w:val="0"/>
            <w:vAlign w:val="center"/>
          </w:tcPr>
          <w:p>
            <w:pPr>
              <w:adjustRightInd w:val="0"/>
              <w:snapToGrid w:val="0"/>
              <w:jc w:val="center"/>
              <w:rPr>
                <w:rFonts w:hint="eastAsia" w:ascii="黑体" w:eastAsia="黑体"/>
                <w:szCs w:val="21"/>
              </w:rPr>
            </w:pPr>
            <w:r>
              <w:rPr>
                <w:rFonts w:hint="eastAsia" w:ascii="黑体" w:eastAsia="黑体"/>
                <w:szCs w:val="21"/>
              </w:rPr>
              <w:t>2022年</w:t>
            </w:r>
          </w:p>
        </w:tc>
        <w:tc>
          <w:tcPr>
            <w:tcW w:w="1025" w:type="dxa"/>
            <w:noWrap w:val="0"/>
            <w:vAlign w:val="center"/>
          </w:tcPr>
          <w:p>
            <w:pPr>
              <w:adjustRightInd w:val="0"/>
              <w:snapToGrid w:val="0"/>
              <w:jc w:val="center"/>
              <w:rPr>
                <w:rFonts w:hint="eastAsia" w:ascii="黑体" w:eastAsia="黑体"/>
                <w:szCs w:val="21"/>
              </w:rPr>
            </w:pPr>
            <w:r>
              <w:rPr>
                <w:rFonts w:hint="eastAsia" w:ascii="黑体" w:eastAsia="黑体"/>
                <w:szCs w:val="21"/>
              </w:rPr>
              <w:t>2023年</w:t>
            </w:r>
          </w:p>
        </w:tc>
        <w:tc>
          <w:tcPr>
            <w:tcW w:w="1024" w:type="dxa"/>
            <w:noWrap w:val="0"/>
            <w:vAlign w:val="center"/>
          </w:tcPr>
          <w:p>
            <w:pPr>
              <w:adjustRightInd w:val="0"/>
              <w:snapToGrid w:val="0"/>
              <w:jc w:val="center"/>
              <w:rPr>
                <w:rFonts w:hint="eastAsia" w:ascii="黑体" w:eastAsia="黑体"/>
                <w:szCs w:val="21"/>
              </w:rPr>
            </w:pPr>
            <w:r>
              <w:rPr>
                <w:rFonts w:hint="eastAsia" w:ascii="黑体" w:eastAsia="黑体"/>
                <w:szCs w:val="21"/>
              </w:rPr>
              <w:t>2024年</w:t>
            </w:r>
          </w:p>
        </w:tc>
        <w:tc>
          <w:tcPr>
            <w:tcW w:w="1024" w:type="dxa"/>
            <w:noWrap w:val="0"/>
            <w:vAlign w:val="center"/>
          </w:tcPr>
          <w:p>
            <w:pPr>
              <w:adjustRightInd w:val="0"/>
              <w:snapToGrid w:val="0"/>
              <w:jc w:val="center"/>
              <w:rPr>
                <w:rFonts w:hint="eastAsia" w:ascii="黑体" w:eastAsia="黑体"/>
                <w:szCs w:val="21"/>
              </w:rPr>
            </w:pPr>
            <w:r>
              <w:rPr>
                <w:rFonts w:hint="eastAsia" w:ascii="黑体" w:eastAsia="黑体"/>
                <w:szCs w:val="21"/>
              </w:rPr>
              <w:t>2025年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656" w:type="dxa"/>
            <w:noWrap w:val="0"/>
            <w:vAlign w:val="center"/>
          </w:tcPr>
          <w:p>
            <w:pPr>
              <w:adjustRightInd w:val="0"/>
              <w:snapToGrid w:val="0"/>
              <w:jc w:val="center"/>
              <w:rPr>
                <w:rFonts w:hint="eastAsia" w:ascii="黑体" w:eastAsia="黑体"/>
                <w:szCs w:val="21"/>
              </w:rPr>
            </w:pPr>
            <w:r>
              <w:rPr>
                <w:rFonts w:hint="eastAsia" w:ascii="黑体" w:eastAsia="黑体"/>
                <w:szCs w:val="21"/>
              </w:rPr>
              <w:t>1</w:t>
            </w:r>
          </w:p>
        </w:tc>
        <w:tc>
          <w:tcPr>
            <w:tcW w:w="1977" w:type="dxa"/>
            <w:noWrap w:val="0"/>
            <w:vAlign w:val="center"/>
          </w:tcPr>
          <w:p>
            <w:pPr>
              <w:adjustRightInd w:val="0"/>
              <w:snapToGrid w:val="0"/>
              <w:jc w:val="center"/>
              <w:rPr>
                <w:rFonts w:hint="eastAsia" w:ascii="黑体" w:eastAsia="黑体"/>
                <w:szCs w:val="21"/>
                <w:lang w:val="en-US" w:eastAsia="zh-CN"/>
              </w:rPr>
            </w:pPr>
            <w:r>
              <w:rPr>
                <w:rFonts w:hint="eastAsia" w:ascii="黑体" w:eastAsia="黑体"/>
                <w:szCs w:val="21"/>
                <w:lang w:val="en-US" w:eastAsia="zh-CN"/>
              </w:rPr>
              <w:t>羊皮纸</w:t>
            </w:r>
          </w:p>
        </w:tc>
        <w:tc>
          <w:tcPr>
            <w:tcW w:w="1024" w:type="dxa"/>
            <w:noWrap w:val="0"/>
            <w:vAlign w:val="center"/>
          </w:tcPr>
          <w:p>
            <w:pPr>
              <w:adjustRightInd w:val="0"/>
              <w:snapToGrid w:val="0"/>
              <w:jc w:val="center"/>
              <w:rPr>
                <w:rFonts w:hint="eastAsia" w:ascii="黑体" w:eastAsia="黑体"/>
                <w:szCs w:val="21"/>
                <w:lang w:val="en-US" w:eastAsia="zh-CN"/>
              </w:rPr>
            </w:pPr>
            <w:r>
              <w:rPr>
                <w:rFonts w:hint="eastAsia" w:ascii="黑体" w:eastAsia="黑体"/>
                <w:szCs w:val="21"/>
                <w:lang w:val="en-US" w:eastAsia="zh-CN"/>
              </w:rPr>
              <w:t>吨</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6000</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7000</w:t>
            </w:r>
          </w:p>
        </w:tc>
        <w:tc>
          <w:tcPr>
            <w:tcW w:w="1025"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9000</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10000</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656" w:type="dxa"/>
            <w:noWrap w:val="0"/>
            <w:vAlign w:val="center"/>
          </w:tcPr>
          <w:p>
            <w:pPr>
              <w:adjustRightInd w:val="0"/>
              <w:snapToGrid w:val="0"/>
              <w:jc w:val="center"/>
              <w:rPr>
                <w:rFonts w:hint="eastAsia" w:ascii="黑体" w:eastAsia="黑体"/>
                <w:szCs w:val="21"/>
              </w:rPr>
            </w:pPr>
            <w:r>
              <w:rPr>
                <w:rFonts w:hint="eastAsia" w:ascii="黑体" w:eastAsia="黑体"/>
                <w:szCs w:val="21"/>
              </w:rPr>
              <w:t>2</w:t>
            </w:r>
          </w:p>
        </w:tc>
        <w:tc>
          <w:tcPr>
            <w:tcW w:w="1977"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高档文化纸</w:t>
            </w:r>
          </w:p>
        </w:tc>
        <w:tc>
          <w:tcPr>
            <w:tcW w:w="1024" w:type="dxa"/>
            <w:noWrap w:val="0"/>
            <w:vAlign w:val="center"/>
          </w:tcPr>
          <w:p>
            <w:pPr>
              <w:adjustRightInd w:val="0"/>
              <w:snapToGrid w:val="0"/>
              <w:jc w:val="center"/>
              <w:rPr>
                <w:rFonts w:hint="eastAsia" w:ascii="黑体" w:eastAsia="黑体"/>
                <w:szCs w:val="21"/>
              </w:rPr>
            </w:pPr>
            <w:r>
              <w:rPr>
                <w:rFonts w:hint="eastAsia" w:ascii="黑体" w:eastAsia="黑体"/>
                <w:szCs w:val="21"/>
                <w:lang w:val="en-US" w:eastAsia="zh-CN"/>
              </w:rPr>
              <w:t>吨</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20000</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30000</w:t>
            </w:r>
          </w:p>
        </w:tc>
        <w:tc>
          <w:tcPr>
            <w:tcW w:w="1025"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50000</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60000</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70000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56" w:type="dxa"/>
            <w:noWrap w:val="0"/>
            <w:vAlign w:val="center"/>
          </w:tcPr>
          <w:p>
            <w:pPr>
              <w:adjustRightInd w:val="0"/>
              <w:snapToGrid w:val="0"/>
              <w:jc w:val="center"/>
              <w:rPr>
                <w:rFonts w:hint="eastAsia" w:ascii="黑体" w:eastAsia="黑体"/>
                <w:szCs w:val="21"/>
              </w:rPr>
            </w:pPr>
            <w:r>
              <w:rPr>
                <w:rFonts w:hint="eastAsia" w:ascii="黑体" w:eastAsia="黑体"/>
                <w:szCs w:val="21"/>
              </w:rPr>
              <w:t>3</w:t>
            </w:r>
          </w:p>
        </w:tc>
        <w:tc>
          <w:tcPr>
            <w:tcW w:w="1977"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深加工特种纸</w:t>
            </w:r>
          </w:p>
        </w:tc>
        <w:tc>
          <w:tcPr>
            <w:tcW w:w="1024" w:type="dxa"/>
            <w:noWrap w:val="0"/>
            <w:vAlign w:val="center"/>
          </w:tcPr>
          <w:p>
            <w:pPr>
              <w:adjustRightInd w:val="0"/>
              <w:snapToGrid w:val="0"/>
              <w:jc w:val="center"/>
              <w:rPr>
                <w:rFonts w:hint="eastAsia" w:ascii="黑体" w:eastAsia="黑体"/>
                <w:szCs w:val="21"/>
              </w:rPr>
            </w:pPr>
            <w:r>
              <w:rPr>
                <w:rFonts w:hint="eastAsia" w:ascii="黑体" w:eastAsia="黑体"/>
                <w:szCs w:val="21"/>
                <w:lang w:val="en-US" w:eastAsia="zh-CN"/>
              </w:rPr>
              <w:t>吨</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w:t>
            </w:r>
          </w:p>
        </w:tc>
        <w:tc>
          <w:tcPr>
            <w:tcW w:w="1024" w:type="dxa"/>
            <w:noWrap w:val="0"/>
            <w:vAlign w:val="center"/>
          </w:tcPr>
          <w:p>
            <w:pPr>
              <w:adjustRightInd w:val="0"/>
              <w:snapToGrid w:val="0"/>
              <w:jc w:val="center"/>
              <w:rPr>
                <w:rFonts w:hint="eastAsia" w:ascii="黑体" w:eastAsia="黑体"/>
                <w:szCs w:val="21"/>
                <w:lang w:val="en-US" w:eastAsia="zh-CN"/>
              </w:rPr>
            </w:pPr>
            <w:r>
              <w:rPr>
                <w:rFonts w:hint="eastAsia" w:ascii="黑体" w:eastAsia="黑体"/>
                <w:szCs w:val="21"/>
                <w:lang w:val="en-US" w:eastAsia="zh-CN"/>
              </w:rPr>
              <w:t>/</w:t>
            </w:r>
          </w:p>
        </w:tc>
        <w:tc>
          <w:tcPr>
            <w:tcW w:w="1025"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6000</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8000</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656" w:type="dxa"/>
            <w:noWrap w:val="0"/>
            <w:vAlign w:val="center"/>
          </w:tcPr>
          <w:p>
            <w:pPr>
              <w:adjustRightInd w:val="0"/>
              <w:snapToGrid w:val="0"/>
              <w:jc w:val="center"/>
              <w:rPr>
                <w:rFonts w:hint="eastAsia" w:ascii="黑体" w:eastAsia="黑体"/>
                <w:szCs w:val="21"/>
                <w:lang w:val="en-US" w:eastAsia="zh-CN"/>
              </w:rPr>
            </w:pPr>
            <w:r>
              <w:rPr>
                <w:rFonts w:hint="eastAsia" w:ascii="黑体" w:eastAsia="黑体"/>
                <w:szCs w:val="21"/>
                <w:lang w:val="en-US" w:eastAsia="zh-CN"/>
              </w:rPr>
              <w:t>4</w:t>
            </w:r>
          </w:p>
        </w:tc>
        <w:tc>
          <w:tcPr>
            <w:tcW w:w="1977"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高级薄页纸</w:t>
            </w:r>
          </w:p>
        </w:tc>
        <w:tc>
          <w:tcPr>
            <w:tcW w:w="1024" w:type="dxa"/>
            <w:noWrap w:val="0"/>
            <w:vAlign w:val="center"/>
          </w:tcPr>
          <w:p>
            <w:pPr>
              <w:adjustRightInd w:val="0"/>
              <w:snapToGrid w:val="0"/>
              <w:jc w:val="center"/>
              <w:rPr>
                <w:rFonts w:hint="eastAsia" w:ascii="黑体" w:eastAsia="黑体"/>
                <w:szCs w:val="21"/>
                <w:lang w:val="en-US" w:eastAsia="zh-CN"/>
              </w:rPr>
            </w:pPr>
            <w:r>
              <w:rPr>
                <w:rFonts w:hint="eastAsia" w:ascii="黑体" w:eastAsia="黑体"/>
                <w:szCs w:val="21"/>
                <w:lang w:val="en-US" w:eastAsia="zh-CN"/>
              </w:rPr>
              <w:t>吨</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7000</w:t>
            </w:r>
          </w:p>
        </w:tc>
        <w:tc>
          <w:tcPr>
            <w:tcW w:w="1024" w:type="dxa"/>
            <w:noWrap w:val="0"/>
            <w:vAlign w:val="center"/>
          </w:tcPr>
          <w:p>
            <w:pPr>
              <w:adjustRightInd w:val="0"/>
              <w:snapToGrid w:val="0"/>
              <w:jc w:val="center"/>
              <w:rPr>
                <w:rFonts w:hint="default" w:ascii="黑体" w:eastAsia="黑体"/>
                <w:szCs w:val="21"/>
                <w:lang w:val="en-US" w:eastAsia="zh-CN"/>
              </w:rPr>
            </w:pPr>
            <w:r>
              <w:rPr>
                <w:rFonts w:hint="eastAsia" w:ascii="黑体" w:eastAsia="黑体"/>
                <w:szCs w:val="21"/>
                <w:lang w:val="en-US" w:eastAsia="zh-CN"/>
              </w:rPr>
              <w:t>8000</w:t>
            </w:r>
          </w:p>
        </w:tc>
        <w:tc>
          <w:tcPr>
            <w:tcW w:w="1025" w:type="dxa"/>
            <w:noWrap w:val="0"/>
            <w:vAlign w:val="center"/>
          </w:tcPr>
          <w:p>
            <w:pPr>
              <w:adjustRightInd w:val="0"/>
              <w:snapToGrid w:val="0"/>
              <w:jc w:val="center"/>
              <w:rPr>
                <w:rFonts w:hint="eastAsia" w:ascii="黑体" w:eastAsia="黑体"/>
                <w:szCs w:val="21"/>
                <w:lang w:val="en-US" w:eastAsia="zh-CN"/>
              </w:rPr>
            </w:pPr>
            <w:r>
              <w:rPr>
                <w:rFonts w:hint="eastAsia" w:ascii="黑体" w:eastAsia="黑体"/>
                <w:szCs w:val="21"/>
                <w:lang w:val="en-US" w:eastAsia="zh-CN"/>
              </w:rPr>
              <w:t>10000</w:t>
            </w:r>
          </w:p>
        </w:tc>
        <w:tc>
          <w:tcPr>
            <w:tcW w:w="1024" w:type="dxa"/>
            <w:noWrap w:val="0"/>
            <w:vAlign w:val="center"/>
          </w:tcPr>
          <w:p>
            <w:pPr>
              <w:adjustRightInd w:val="0"/>
              <w:snapToGrid w:val="0"/>
              <w:jc w:val="center"/>
              <w:rPr>
                <w:rFonts w:hint="eastAsia" w:ascii="黑体" w:eastAsia="黑体"/>
                <w:szCs w:val="21"/>
                <w:lang w:val="en-US" w:eastAsia="zh-CN"/>
              </w:rPr>
            </w:pPr>
            <w:r>
              <w:rPr>
                <w:rFonts w:hint="eastAsia" w:ascii="黑体" w:eastAsia="黑体"/>
                <w:szCs w:val="21"/>
                <w:lang w:val="en-US" w:eastAsia="zh-CN"/>
              </w:rPr>
              <w:t>10000</w:t>
            </w:r>
          </w:p>
        </w:tc>
        <w:tc>
          <w:tcPr>
            <w:tcW w:w="1024" w:type="dxa"/>
            <w:noWrap w:val="0"/>
            <w:vAlign w:val="center"/>
          </w:tcPr>
          <w:p>
            <w:pPr>
              <w:adjustRightInd w:val="0"/>
              <w:snapToGrid w:val="0"/>
              <w:jc w:val="center"/>
              <w:rPr>
                <w:rFonts w:hint="eastAsia" w:ascii="黑体" w:eastAsia="黑体"/>
                <w:szCs w:val="21"/>
                <w:lang w:val="en-US" w:eastAsia="zh-CN"/>
              </w:rPr>
            </w:pPr>
            <w:r>
              <w:rPr>
                <w:rFonts w:hint="eastAsia" w:ascii="黑体" w:eastAsia="黑体"/>
                <w:szCs w:val="21"/>
                <w:lang w:val="en-US" w:eastAsia="zh-CN"/>
              </w:rPr>
              <w:t>10000</w:t>
            </w:r>
          </w:p>
        </w:tc>
      </w:tr>
    </w:tbl>
    <w:p>
      <w:pPr>
        <w:keepNext w:val="0"/>
        <w:keepLines w:val="0"/>
        <w:pageBreakBefore w:val="0"/>
        <w:widowControl w:val="0"/>
        <w:kinsoku/>
        <w:wordWrap/>
        <w:overflowPunct/>
        <w:topLinePunct w:val="0"/>
        <w:autoSpaceDE/>
        <w:autoSpaceDN/>
        <w:bidi w:val="0"/>
        <w:adjustRightInd w:val="0"/>
        <w:snapToGrid w:val="0"/>
        <w:spacing w:line="400" w:lineRule="exact"/>
        <w:ind w:firstLine="675" w:firstLineChars="200"/>
        <w:textAlignment w:val="auto"/>
        <w:rPr>
          <w:rFonts w:hint="eastAsia" w:ascii="楷体" w:hAnsi="楷体" w:eastAsia="楷体" w:cs="楷体"/>
          <w:b/>
          <w:spacing w:val="8"/>
          <w:sz w:val="32"/>
          <w:szCs w:val="32"/>
          <w:shd w:val="clear" w:color="auto" w:fill="FFFFFF"/>
          <w:lang w:val="en-US" w:eastAsia="zh-CN"/>
        </w:rPr>
      </w:pPr>
    </w:p>
    <w:p>
      <w:pPr>
        <w:keepNext w:val="0"/>
        <w:keepLines w:val="0"/>
        <w:pageBreakBefore w:val="0"/>
        <w:widowControl w:val="0"/>
        <w:kinsoku/>
        <w:wordWrap/>
        <w:overflowPunct/>
        <w:topLinePunct w:val="0"/>
        <w:autoSpaceDE/>
        <w:autoSpaceDN/>
        <w:bidi w:val="0"/>
        <w:adjustRightInd w:val="0"/>
        <w:snapToGrid w:val="0"/>
        <w:spacing w:line="40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表3-3　　     规划期主要经济指标</w:t>
      </w:r>
    </w:p>
    <w:tbl>
      <w:tblPr>
        <w:tblStyle w:val="8"/>
        <w:tblpPr w:leftFromText="180" w:rightFromText="180" w:vertAnchor="text" w:horzAnchor="page" w:tblpX="2080" w:tblpY="347"/>
        <w:tblOverlap w:val="never"/>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
        <w:gridCol w:w="2323"/>
        <w:gridCol w:w="1285"/>
        <w:gridCol w:w="1230"/>
        <w:gridCol w:w="1140"/>
        <w:gridCol w:w="1205"/>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2610" w:type="dxa"/>
            <w:gridSpan w:val="2"/>
            <w:noWrap w:val="0"/>
            <w:vAlign w:val="center"/>
          </w:tcPr>
          <w:p>
            <w:pPr>
              <w:pStyle w:val="3"/>
              <w:snapToGrid w:val="0"/>
              <w:spacing w:line="240" w:lineRule="auto"/>
              <w:ind w:firstLine="0"/>
              <w:jc w:val="center"/>
              <w:rPr>
                <w:rFonts w:hint="eastAsia" w:ascii="黑体" w:hAnsi="宋体" w:eastAsia="黑体"/>
                <w:sz w:val="21"/>
                <w:szCs w:val="21"/>
              </w:rPr>
            </w:pPr>
            <w:r>
              <w:rPr>
                <w:rFonts w:hint="eastAsia" w:ascii="黑体" w:hAnsi="宋体" w:eastAsia="黑体"/>
                <w:sz w:val="21"/>
                <w:szCs w:val="21"/>
              </w:rPr>
              <w:t>年    度</w:t>
            </w:r>
          </w:p>
        </w:tc>
        <w:tc>
          <w:tcPr>
            <w:tcW w:w="1285" w:type="dxa"/>
            <w:noWrap w:val="0"/>
            <w:vAlign w:val="center"/>
          </w:tcPr>
          <w:p>
            <w:pPr>
              <w:pStyle w:val="3"/>
              <w:snapToGrid w:val="0"/>
              <w:spacing w:line="240" w:lineRule="auto"/>
              <w:ind w:firstLine="0"/>
              <w:jc w:val="center"/>
              <w:rPr>
                <w:rFonts w:hint="eastAsia" w:ascii="黑体" w:hAnsi="宋体" w:eastAsia="黑体" w:cs="Tahoma"/>
                <w:sz w:val="21"/>
                <w:szCs w:val="21"/>
              </w:rPr>
            </w:pPr>
            <w:r>
              <w:rPr>
                <w:rFonts w:hint="eastAsia" w:ascii="黑体" w:hAnsi="宋体" w:eastAsia="黑体" w:cs="Tahoma"/>
                <w:sz w:val="21"/>
                <w:szCs w:val="21"/>
              </w:rPr>
              <w:t>2021年</w:t>
            </w:r>
          </w:p>
        </w:tc>
        <w:tc>
          <w:tcPr>
            <w:tcW w:w="1230" w:type="dxa"/>
            <w:noWrap w:val="0"/>
            <w:vAlign w:val="center"/>
          </w:tcPr>
          <w:p>
            <w:pPr>
              <w:pStyle w:val="3"/>
              <w:snapToGrid w:val="0"/>
              <w:spacing w:line="240" w:lineRule="auto"/>
              <w:ind w:firstLine="0"/>
              <w:jc w:val="center"/>
              <w:rPr>
                <w:rFonts w:hint="eastAsia" w:ascii="黑体" w:hAnsi="宋体" w:eastAsia="黑体" w:cs="Tahoma"/>
                <w:sz w:val="21"/>
                <w:szCs w:val="21"/>
              </w:rPr>
            </w:pPr>
            <w:r>
              <w:rPr>
                <w:rFonts w:hint="eastAsia" w:ascii="黑体" w:hAnsi="宋体" w:eastAsia="黑体" w:cs="Tahoma"/>
                <w:sz w:val="21"/>
                <w:szCs w:val="21"/>
              </w:rPr>
              <w:t>2022年</w:t>
            </w:r>
          </w:p>
        </w:tc>
        <w:tc>
          <w:tcPr>
            <w:tcW w:w="1140" w:type="dxa"/>
            <w:noWrap w:val="0"/>
            <w:vAlign w:val="center"/>
          </w:tcPr>
          <w:p>
            <w:pPr>
              <w:pStyle w:val="3"/>
              <w:snapToGrid w:val="0"/>
              <w:spacing w:line="240" w:lineRule="auto"/>
              <w:ind w:firstLine="0"/>
              <w:jc w:val="center"/>
              <w:rPr>
                <w:rFonts w:hint="eastAsia" w:ascii="黑体" w:hAnsi="宋体" w:eastAsia="黑体" w:cs="Tahoma"/>
                <w:sz w:val="21"/>
                <w:szCs w:val="21"/>
              </w:rPr>
            </w:pPr>
            <w:r>
              <w:rPr>
                <w:rFonts w:hint="eastAsia" w:ascii="黑体" w:hAnsi="宋体" w:eastAsia="黑体" w:cs="Tahoma"/>
                <w:sz w:val="21"/>
                <w:szCs w:val="21"/>
              </w:rPr>
              <w:t>2023年</w:t>
            </w:r>
          </w:p>
        </w:tc>
        <w:tc>
          <w:tcPr>
            <w:tcW w:w="1205" w:type="dxa"/>
            <w:noWrap w:val="0"/>
            <w:vAlign w:val="center"/>
          </w:tcPr>
          <w:p>
            <w:pPr>
              <w:pStyle w:val="3"/>
              <w:snapToGrid w:val="0"/>
              <w:spacing w:line="240" w:lineRule="auto"/>
              <w:ind w:firstLine="0"/>
              <w:jc w:val="center"/>
              <w:rPr>
                <w:rFonts w:hint="eastAsia" w:ascii="黑体" w:hAnsi="宋体" w:eastAsia="黑体" w:cs="Tahoma"/>
                <w:sz w:val="21"/>
                <w:szCs w:val="21"/>
              </w:rPr>
            </w:pPr>
            <w:r>
              <w:rPr>
                <w:rFonts w:hint="eastAsia" w:ascii="黑体" w:hAnsi="宋体" w:eastAsia="黑体" w:cs="Tahoma"/>
                <w:sz w:val="21"/>
                <w:szCs w:val="21"/>
              </w:rPr>
              <w:t>2024年</w:t>
            </w:r>
          </w:p>
        </w:tc>
        <w:tc>
          <w:tcPr>
            <w:tcW w:w="1285" w:type="dxa"/>
            <w:noWrap w:val="0"/>
            <w:vAlign w:val="center"/>
          </w:tcPr>
          <w:p>
            <w:pPr>
              <w:pStyle w:val="3"/>
              <w:snapToGrid w:val="0"/>
              <w:spacing w:line="240" w:lineRule="auto"/>
              <w:ind w:firstLine="0"/>
              <w:jc w:val="center"/>
              <w:rPr>
                <w:rFonts w:hint="eastAsia" w:ascii="黑体" w:hAnsi="宋体" w:eastAsia="黑体" w:cs="Tahoma"/>
                <w:sz w:val="21"/>
                <w:szCs w:val="21"/>
              </w:rPr>
            </w:pPr>
            <w:r>
              <w:rPr>
                <w:rFonts w:hint="eastAsia" w:ascii="黑体" w:hAnsi="宋体" w:eastAsia="黑体" w:cs="Tahoma"/>
                <w:sz w:val="21"/>
                <w:szCs w:val="21"/>
              </w:rPr>
              <w:t>2025年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主营业务收入（万元）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30145</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33200</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36550</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40210</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44250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利润总额（万元）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2150</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2400</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2650</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2950</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10" w:type="dxa"/>
            <w:gridSpan w:val="2"/>
            <w:tcBorders>
              <w:bottom w:val="single" w:color="auto" w:sz="4" w:space="0"/>
            </w:tcBorders>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净利润（万元）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1550</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1750</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1950</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2170</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2370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2610" w:type="dxa"/>
            <w:gridSpan w:val="2"/>
            <w:tcBorders>
              <w:bottom w:val="nil"/>
            </w:tcBorders>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资产总额（万元）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100010</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100450</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100510</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100780</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87" w:type="dxa"/>
            <w:tcBorders>
              <w:top w:val="nil"/>
            </w:tcBorders>
            <w:noWrap w:val="0"/>
            <w:vAlign w:val="center"/>
          </w:tcPr>
          <w:p>
            <w:pPr>
              <w:pStyle w:val="3"/>
              <w:snapToGrid w:val="0"/>
              <w:spacing w:line="240" w:lineRule="auto"/>
              <w:ind w:firstLine="0"/>
              <w:jc w:val="both"/>
              <w:rPr>
                <w:rFonts w:hint="eastAsia" w:ascii="黑体" w:hAnsi="宋体" w:eastAsia="黑体"/>
                <w:sz w:val="21"/>
                <w:szCs w:val="21"/>
              </w:rPr>
            </w:pPr>
          </w:p>
        </w:tc>
        <w:tc>
          <w:tcPr>
            <w:tcW w:w="2323" w:type="dxa"/>
            <w:tcBorders>
              <w:top w:val="single" w:color="auto" w:sz="4" w:space="0"/>
            </w:tcBorders>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国有资产总量（万元）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100010</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100450</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100510</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100780</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100900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所有者权益（万元）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12000</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13000</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13500</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15500</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成本费用总额（万元）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27354.6</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31566</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36327</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42340</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49280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人工成本（万元）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5892.6</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6116</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6314</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6668</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6945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在岗职工（人）</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424</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418</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406</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394</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总资产报酬率（％）</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2.8</w:t>
            </w:r>
          </w:p>
        </w:tc>
        <w:tc>
          <w:tcPr>
            <w:tcW w:w="1230" w:type="dxa"/>
            <w:noWrap w:val="0"/>
            <w:vAlign w:val="center"/>
          </w:tcPr>
          <w:p>
            <w:pPr>
              <w:pStyle w:val="3"/>
              <w:snapToGrid w:val="0"/>
              <w:spacing w:line="240" w:lineRule="auto"/>
              <w:ind w:firstLine="0"/>
              <w:jc w:val="center"/>
              <w:rPr>
                <w:rFonts w:hint="eastAsia" w:ascii="黑体" w:hAnsi="宋体" w:eastAsia="黑体" w:cs="Tahoma"/>
                <w:sz w:val="21"/>
                <w:szCs w:val="21"/>
                <w:lang w:val="en-US" w:eastAsia="zh-CN"/>
              </w:rPr>
            </w:pPr>
            <w:r>
              <w:rPr>
                <w:rFonts w:hint="eastAsia" w:ascii="黑体" w:hAnsi="宋体" w:eastAsia="黑体" w:cs="Tahoma"/>
                <w:sz w:val="21"/>
                <w:szCs w:val="21"/>
                <w:lang w:val="en-US" w:eastAsia="zh-CN"/>
              </w:rPr>
              <w:t>3</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3.3</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3.8</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净资产收益率（％）</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2.2</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2.3</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2.6</w:t>
            </w:r>
          </w:p>
        </w:tc>
        <w:tc>
          <w:tcPr>
            <w:tcW w:w="1205" w:type="dxa"/>
            <w:noWrap w:val="0"/>
            <w:vAlign w:val="center"/>
          </w:tcPr>
          <w:p>
            <w:pPr>
              <w:pStyle w:val="3"/>
              <w:snapToGrid w:val="0"/>
              <w:spacing w:line="240" w:lineRule="auto"/>
              <w:ind w:firstLine="0"/>
              <w:jc w:val="center"/>
              <w:rPr>
                <w:rFonts w:hint="eastAsia" w:ascii="黑体" w:hAnsi="宋体" w:eastAsia="黑体" w:cs="Tahoma"/>
                <w:sz w:val="21"/>
                <w:szCs w:val="21"/>
                <w:lang w:val="en-US" w:eastAsia="zh-CN"/>
              </w:rPr>
            </w:pPr>
            <w:r>
              <w:rPr>
                <w:rFonts w:hint="eastAsia" w:ascii="黑体" w:hAnsi="宋体" w:eastAsia="黑体" w:cs="Tahoma"/>
                <w:sz w:val="21"/>
                <w:szCs w:val="21"/>
                <w:lang w:val="en-US" w:eastAsia="zh-CN"/>
              </w:rPr>
              <w:t>3</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资产负债率（％）</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88</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87</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86</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84</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国有资产保值增值率（％）</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101</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101</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101</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101</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固定资产投资总额（万元）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2505</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2305</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2505</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2505</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lang w:val="en-US" w:eastAsia="zh-CN"/>
              </w:rPr>
            </w:pPr>
            <w:r>
              <w:rPr>
                <w:rFonts w:hint="eastAsia" w:ascii="黑体" w:hAnsi="宋体" w:eastAsia="黑体" w:cs="Tahoma"/>
                <w:sz w:val="21"/>
                <w:szCs w:val="21"/>
                <w:lang w:val="en-US" w:eastAsia="zh-CN"/>
              </w:rPr>
              <w:t>2505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trPr>
        <w:tc>
          <w:tcPr>
            <w:tcW w:w="2610" w:type="dxa"/>
            <w:gridSpan w:val="2"/>
            <w:tcBorders>
              <w:bottom w:val="nil"/>
            </w:tcBorders>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年度科技支出总额（万元）</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shd w:val="clear" w:color="auto" w:fill="auto"/>
                <w:lang w:val="en-US" w:eastAsia="zh-CN"/>
              </w:rPr>
            </w:pPr>
            <w:r>
              <w:rPr>
                <w:rFonts w:hint="eastAsia" w:ascii="黑体" w:hAnsi="宋体" w:eastAsia="黑体" w:cs="Tahoma"/>
                <w:sz w:val="21"/>
                <w:szCs w:val="21"/>
                <w:shd w:val="clear" w:color="auto" w:fill="auto"/>
                <w:lang w:val="en-US" w:eastAsia="zh-CN"/>
              </w:rPr>
              <w:t>780</w:t>
            </w:r>
          </w:p>
        </w:tc>
        <w:tc>
          <w:tcPr>
            <w:tcW w:w="1230" w:type="dxa"/>
            <w:noWrap w:val="0"/>
            <w:vAlign w:val="center"/>
          </w:tcPr>
          <w:p>
            <w:pPr>
              <w:pStyle w:val="3"/>
              <w:snapToGrid w:val="0"/>
              <w:spacing w:line="240" w:lineRule="auto"/>
              <w:ind w:firstLine="0"/>
              <w:jc w:val="center"/>
              <w:rPr>
                <w:rFonts w:hint="default" w:ascii="黑体" w:hAnsi="宋体" w:eastAsia="黑体" w:cs="Tahoma"/>
                <w:sz w:val="21"/>
                <w:szCs w:val="21"/>
                <w:shd w:val="clear" w:color="auto" w:fill="auto"/>
                <w:lang w:val="en-US" w:eastAsia="zh-CN"/>
              </w:rPr>
            </w:pPr>
            <w:r>
              <w:rPr>
                <w:rFonts w:hint="eastAsia" w:ascii="黑体" w:hAnsi="宋体" w:eastAsia="黑体" w:cs="Tahoma"/>
                <w:sz w:val="21"/>
                <w:szCs w:val="21"/>
                <w:shd w:val="clear" w:color="auto" w:fill="auto"/>
                <w:lang w:val="en-US" w:eastAsia="zh-CN"/>
              </w:rPr>
              <w:t>937</w:t>
            </w:r>
          </w:p>
        </w:tc>
        <w:tc>
          <w:tcPr>
            <w:tcW w:w="1140" w:type="dxa"/>
            <w:noWrap w:val="0"/>
            <w:vAlign w:val="center"/>
          </w:tcPr>
          <w:p>
            <w:pPr>
              <w:pStyle w:val="3"/>
              <w:snapToGrid w:val="0"/>
              <w:spacing w:line="240" w:lineRule="auto"/>
              <w:ind w:firstLine="0"/>
              <w:jc w:val="center"/>
              <w:rPr>
                <w:rFonts w:hint="default" w:ascii="黑体" w:hAnsi="宋体" w:eastAsia="黑体" w:cs="Tahoma"/>
                <w:sz w:val="21"/>
                <w:szCs w:val="21"/>
                <w:shd w:val="clear" w:color="auto" w:fill="auto"/>
                <w:lang w:val="en-US" w:eastAsia="zh-CN"/>
              </w:rPr>
            </w:pPr>
            <w:r>
              <w:rPr>
                <w:rFonts w:hint="eastAsia" w:ascii="黑体" w:hAnsi="宋体" w:eastAsia="黑体" w:cs="Tahoma"/>
                <w:sz w:val="21"/>
                <w:szCs w:val="21"/>
                <w:shd w:val="clear" w:color="auto" w:fill="auto"/>
                <w:lang w:val="en-US" w:eastAsia="zh-CN"/>
              </w:rPr>
              <w:t>1124</w:t>
            </w:r>
          </w:p>
        </w:tc>
        <w:tc>
          <w:tcPr>
            <w:tcW w:w="1205" w:type="dxa"/>
            <w:noWrap w:val="0"/>
            <w:vAlign w:val="center"/>
          </w:tcPr>
          <w:p>
            <w:pPr>
              <w:pStyle w:val="3"/>
              <w:snapToGrid w:val="0"/>
              <w:spacing w:line="240" w:lineRule="auto"/>
              <w:ind w:firstLine="0"/>
              <w:jc w:val="center"/>
              <w:rPr>
                <w:rFonts w:hint="default" w:ascii="黑体" w:hAnsi="宋体" w:eastAsia="黑体" w:cs="Tahoma"/>
                <w:sz w:val="21"/>
                <w:szCs w:val="21"/>
                <w:shd w:val="clear" w:color="auto" w:fill="auto"/>
                <w:lang w:val="en-US" w:eastAsia="zh-CN"/>
              </w:rPr>
            </w:pPr>
            <w:r>
              <w:rPr>
                <w:rFonts w:hint="eastAsia" w:ascii="黑体" w:hAnsi="宋体" w:eastAsia="黑体" w:cs="Tahoma"/>
                <w:sz w:val="21"/>
                <w:szCs w:val="21"/>
                <w:shd w:val="clear" w:color="auto" w:fill="auto"/>
                <w:lang w:val="en-US" w:eastAsia="zh-CN"/>
              </w:rPr>
              <w:t>1348</w:t>
            </w:r>
          </w:p>
        </w:tc>
        <w:tc>
          <w:tcPr>
            <w:tcW w:w="1285" w:type="dxa"/>
            <w:noWrap w:val="0"/>
            <w:vAlign w:val="center"/>
          </w:tcPr>
          <w:p>
            <w:pPr>
              <w:pStyle w:val="3"/>
              <w:snapToGrid w:val="0"/>
              <w:spacing w:line="240" w:lineRule="auto"/>
              <w:ind w:firstLine="0"/>
              <w:jc w:val="center"/>
              <w:rPr>
                <w:rFonts w:hint="default" w:ascii="黑体" w:hAnsi="宋体" w:eastAsia="黑体" w:cs="Tahoma"/>
                <w:sz w:val="21"/>
                <w:szCs w:val="21"/>
                <w:shd w:val="pct10" w:color="auto" w:fill="FFFFFF"/>
                <w:lang w:val="en-US" w:eastAsia="zh-CN"/>
              </w:rPr>
            </w:pPr>
            <w:r>
              <w:rPr>
                <w:rFonts w:hint="eastAsia" w:ascii="黑体" w:hAnsi="宋体" w:eastAsia="黑体" w:cs="Tahoma"/>
                <w:sz w:val="21"/>
                <w:szCs w:val="21"/>
                <w:shd w:val="clear" w:color="auto" w:fill="auto"/>
                <w:lang w:val="en-US" w:eastAsia="zh-CN"/>
              </w:rPr>
              <w:t>1618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2610" w:type="dxa"/>
            <w:gridSpan w:val="2"/>
            <w:noWrap w:val="0"/>
            <w:vAlign w:val="center"/>
          </w:tcPr>
          <w:p>
            <w:pPr>
              <w:pStyle w:val="3"/>
              <w:snapToGrid w:val="0"/>
              <w:spacing w:line="240" w:lineRule="auto"/>
              <w:ind w:firstLine="0"/>
              <w:jc w:val="both"/>
              <w:rPr>
                <w:rFonts w:hint="eastAsia" w:ascii="黑体" w:hAnsi="宋体" w:eastAsia="黑体"/>
                <w:sz w:val="21"/>
                <w:szCs w:val="21"/>
              </w:rPr>
            </w:pPr>
            <w:r>
              <w:rPr>
                <w:rFonts w:hint="eastAsia" w:ascii="黑体" w:hAnsi="宋体" w:eastAsia="黑体"/>
                <w:sz w:val="21"/>
                <w:szCs w:val="21"/>
              </w:rPr>
              <w:t>技术投入比率（％）</w:t>
            </w:r>
          </w:p>
        </w:tc>
        <w:tc>
          <w:tcPr>
            <w:tcW w:w="1285" w:type="dxa"/>
            <w:noWrap w:val="0"/>
            <w:vAlign w:val="center"/>
          </w:tcPr>
          <w:p>
            <w:pPr>
              <w:pStyle w:val="3"/>
              <w:snapToGrid w:val="0"/>
              <w:spacing w:line="240" w:lineRule="auto"/>
              <w:ind w:firstLine="0"/>
              <w:jc w:val="center"/>
              <w:rPr>
                <w:rFonts w:hint="eastAsia" w:ascii="黑体" w:hAnsi="宋体" w:eastAsia="黑体" w:cs="Tahoma"/>
                <w:sz w:val="21"/>
                <w:szCs w:val="21"/>
                <w:lang w:val="en-US" w:eastAsia="zh-CN"/>
              </w:rPr>
            </w:pPr>
            <w:r>
              <w:rPr>
                <w:rFonts w:hint="eastAsia" w:ascii="黑体" w:hAnsi="宋体" w:eastAsia="黑体" w:cs="Tahoma"/>
                <w:sz w:val="21"/>
                <w:szCs w:val="21"/>
                <w:lang w:val="en-US" w:eastAsia="zh-CN"/>
              </w:rPr>
              <w:t>4</w:t>
            </w:r>
          </w:p>
        </w:tc>
        <w:tc>
          <w:tcPr>
            <w:tcW w:w="1230" w:type="dxa"/>
            <w:noWrap w:val="0"/>
            <w:vAlign w:val="center"/>
          </w:tcPr>
          <w:p>
            <w:pPr>
              <w:pStyle w:val="3"/>
              <w:snapToGrid w:val="0"/>
              <w:spacing w:line="240" w:lineRule="auto"/>
              <w:ind w:firstLine="0"/>
              <w:jc w:val="center"/>
              <w:rPr>
                <w:rFonts w:hint="eastAsia" w:ascii="黑体" w:hAnsi="宋体" w:eastAsia="黑体" w:cs="Tahoma"/>
                <w:sz w:val="21"/>
                <w:szCs w:val="21"/>
                <w:lang w:val="en-US" w:eastAsia="zh-CN"/>
              </w:rPr>
            </w:pPr>
            <w:r>
              <w:rPr>
                <w:rFonts w:hint="eastAsia" w:ascii="黑体" w:hAnsi="宋体" w:eastAsia="黑体" w:cs="Tahoma"/>
                <w:sz w:val="21"/>
                <w:szCs w:val="21"/>
                <w:lang w:val="en-US" w:eastAsia="zh-CN"/>
              </w:rPr>
              <w:t>4</w:t>
            </w:r>
          </w:p>
        </w:tc>
        <w:tc>
          <w:tcPr>
            <w:tcW w:w="1140" w:type="dxa"/>
            <w:noWrap w:val="0"/>
            <w:vAlign w:val="center"/>
          </w:tcPr>
          <w:p>
            <w:pPr>
              <w:pStyle w:val="3"/>
              <w:snapToGrid w:val="0"/>
              <w:spacing w:line="240" w:lineRule="auto"/>
              <w:ind w:firstLine="0"/>
              <w:jc w:val="center"/>
              <w:rPr>
                <w:rFonts w:hint="eastAsia" w:ascii="黑体" w:hAnsi="宋体" w:eastAsia="黑体" w:cs="Tahoma"/>
                <w:sz w:val="21"/>
                <w:szCs w:val="21"/>
                <w:lang w:val="en-US" w:eastAsia="zh-CN"/>
              </w:rPr>
            </w:pPr>
            <w:r>
              <w:rPr>
                <w:rFonts w:hint="eastAsia" w:ascii="黑体" w:hAnsi="宋体" w:eastAsia="黑体" w:cs="Tahoma"/>
                <w:sz w:val="21"/>
                <w:szCs w:val="21"/>
                <w:lang w:val="en-US" w:eastAsia="zh-CN"/>
              </w:rPr>
              <w:t>4</w:t>
            </w:r>
          </w:p>
        </w:tc>
        <w:tc>
          <w:tcPr>
            <w:tcW w:w="1205" w:type="dxa"/>
            <w:noWrap w:val="0"/>
            <w:vAlign w:val="center"/>
          </w:tcPr>
          <w:p>
            <w:pPr>
              <w:pStyle w:val="3"/>
              <w:snapToGrid w:val="0"/>
              <w:spacing w:line="240" w:lineRule="auto"/>
              <w:ind w:firstLine="0"/>
              <w:jc w:val="center"/>
              <w:rPr>
                <w:rFonts w:hint="eastAsia" w:ascii="黑体" w:hAnsi="宋体" w:eastAsia="黑体" w:cs="Tahoma"/>
                <w:sz w:val="21"/>
                <w:szCs w:val="21"/>
                <w:lang w:val="en-US" w:eastAsia="zh-CN"/>
              </w:rPr>
            </w:pPr>
            <w:r>
              <w:rPr>
                <w:rFonts w:hint="eastAsia" w:ascii="黑体" w:hAnsi="宋体" w:eastAsia="黑体" w:cs="Tahoma"/>
                <w:sz w:val="21"/>
                <w:szCs w:val="21"/>
                <w:lang w:val="en-US" w:eastAsia="zh-CN"/>
              </w:rPr>
              <w:t>4</w:t>
            </w:r>
          </w:p>
        </w:tc>
        <w:tc>
          <w:tcPr>
            <w:tcW w:w="1285" w:type="dxa"/>
            <w:noWrap w:val="0"/>
            <w:vAlign w:val="center"/>
          </w:tcPr>
          <w:p>
            <w:pPr>
              <w:pStyle w:val="3"/>
              <w:snapToGrid w:val="0"/>
              <w:spacing w:line="240" w:lineRule="auto"/>
              <w:ind w:firstLine="0"/>
              <w:jc w:val="center"/>
              <w:rPr>
                <w:rFonts w:hint="eastAsia" w:ascii="黑体" w:hAnsi="宋体" w:eastAsia="黑体" w:cs="Tahoma"/>
                <w:sz w:val="21"/>
                <w:szCs w:val="21"/>
                <w:lang w:val="en-US" w:eastAsia="zh-CN"/>
              </w:rPr>
            </w:pPr>
            <w:r>
              <w:rPr>
                <w:rFonts w:hint="eastAsia" w:ascii="黑体" w:hAnsi="宋体" w:eastAsia="黑体" w:cs="Tahoma"/>
                <w:sz w:val="21"/>
                <w:szCs w:val="21"/>
                <w:lang w:val="en-US" w:eastAsia="zh-CN"/>
              </w:rPr>
              <w:t>4</w:t>
            </w:r>
          </w:p>
        </w:tc>
      </w:tr>
    </w:tbl>
    <w:p>
      <w:pPr>
        <w:adjustRightInd w:val="0"/>
        <w:snapToGrid w:val="0"/>
        <w:spacing w:line="400" w:lineRule="exact"/>
        <w:ind w:firstLine="675" w:firstLineChars="200"/>
        <w:rPr>
          <w:rFonts w:hint="eastAsia" w:ascii="楷体" w:hAnsi="楷体" w:eastAsia="楷体" w:cs="楷体"/>
          <w:b/>
          <w:spacing w:val="8"/>
          <w:sz w:val="32"/>
          <w:szCs w:val="32"/>
          <w:shd w:val="clear" w:color="auto" w:fill="FFFFFF"/>
          <w:lang w:val="en-US" w:eastAsia="zh-CN"/>
        </w:rPr>
      </w:pPr>
    </w:p>
    <w:p>
      <w:pPr>
        <w:adjustRightInd w:val="0"/>
        <w:snapToGrid w:val="0"/>
        <w:spacing w:line="400" w:lineRule="exact"/>
        <w:ind w:firstLine="675" w:firstLineChars="200"/>
        <w:rPr>
          <w:rFonts w:hint="eastAsia" w:ascii="仿宋_GB2312" w:hAnsi="楷体" w:eastAsia="仿宋_GB2312" w:cs="楷体"/>
          <w:b/>
          <w:kern w:val="2"/>
          <w:sz w:val="32"/>
          <w:szCs w:val="32"/>
          <w:lang w:val="en-US" w:eastAsia="zh-CN" w:bidi="ar-SA"/>
        </w:rPr>
      </w:pPr>
      <w:r>
        <w:rPr>
          <w:rFonts w:hint="eastAsia" w:ascii="楷体" w:hAnsi="楷体" w:eastAsia="楷体" w:cs="楷体"/>
          <w:b/>
          <w:spacing w:val="8"/>
          <w:sz w:val="32"/>
          <w:szCs w:val="32"/>
          <w:shd w:val="clear" w:color="auto" w:fill="FFFFFF"/>
          <w:lang w:val="en-US" w:eastAsia="zh-CN"/>
        </w:rPr>
        <w:t>（四</w:t>
      </w:r>
      <w:r>
        <w:rPr>
          <w:rFonts w:hint="eastAsia" w:ascii="楷体" w:hAnsi="楷体" w:eastAsia="楷体" w:cs="楷体"/>
          <w:b/>
          <w:spacing w:val="8"/>
          <w:sz w:val="32"/>
          <w:szCs w:val="32"/>
          <w:shd w:val="clear" w:color="auto" w:fill="FFFFFF"/>
          <w:lang w:eastAsia="zh-CN"/>
        </w:rPr>
        <w:t>）</w:t>
      </w:r>
      <w:r>
        <w:rPr>
          <w:rFonts w:hint="eastAsia" w:ascii="楷体" w:hAnsi="楷体" w:eastAsia="楷体" w:cs="楷体"/>
          <w:b/>
          <w:spacing w:val="8"/>
          <w:sz w:val="32"/>
          <w:szCs w:val="32"/>
          <w:shd w:val="clear" w:color="auto" w:fill="FFFFFF"/>
        </w:rPr>
        <w:t>规划期内</w:t>
      </w:r>
      <w:r>
        <w:rPr>
          <w:rFonts w:hint="eastAsia" w:ascii="楷体" w:hAnsi="楷体" w:eastAsia="楷体" w:cs="楷体"/>
          <w:b/>
          <w:spacing w:val="8"/>
          <w:sz w:val="32"/>
          <w:szCs w:val="32"/>
          <w:shd w:val="clear" w:color="auto" w:fill="FFFFFF"/>
          <w:lang w:val="en-US" w:eastAsia="zh-CN"/>
        </w:rPr>
        <w:t>重点发展任务</w:t>
      </w:r>
    </w:p>
    <w:p>
      <w:pPr>
        <w:numPr>
          <w:ilvl w:val="0"/>
          <w:numId w:val="0"/>
        </w:numPr>
        <w:ind w:firstLine="643" w:firstLineChars="200"/>
        <w:jc w:val="both"/>
        <w:rPr>
          <w:rFonts w:hint="eastAsia" w:ascii="仿宋_GB2312" w:hAnsi="楷体" w:eastAsia="仿宋_GB2312" w:cs="楷体"/>
          <w:b/>
          <w:kern w:val="2"/>
          <w:sz w:val="32"/>
          <w:szCs w:val="32"/>
          <w:lang w:val="en-US" w:eastAsia="zh-CN" w:bidi="ar-SA"/>
        </w:rPr>
      </w:pPr>
      <w:r>
        <w:rPr>
          <w:rFonts w:hint="eastAsia" w:ascii="仿宋_GB2312" w:hAnsi="楷体" w:eastAsia="仿宋_GB2312" w:cs="楷体"/>
          <w:b/>
          <w:kern w:val="2"/>
          <w:sz w:val="32"/>
          <w:szCs w:val="32"/>
          <w:lang w:val="en-US" w:eastAsia="zh-CN" w:bidi="ar-SA"/>
        </w:rPr>
        <w:t>1、实现特种纸产业的再造升级发展</w:t>
      </w:r>
    </w:p>
    <w:p>
      <w:pPr>
        <w:numPr>
          <w:ilvl w:val="0"/>
          <w:numId w:val="0"/>
        </w:numPr>
        <w:ind w:firstLine="640" w:firstLineChars="200"/>
        <w:jc w:val="both"/>
        <w:rPr>
          <w:rFonts w:hint="eastAsia" w:ascii="仿宋_GB2312" w:hAnsi="仿宋" w:eastAsia="仿宋_GB2312" w:cs="黑体"/>
          <w:color w:val="auto"/>
          <w:kern w:val="0"/>
          <w:sz w:val="32"/>
          <w:szCs w:val="32"/>
          <w:lang w:val="en-US" w:eastAsia="zh-CN"/>
        </w:rPr>
      </w:pPr>
      <w:r>
        <w:rPr>
          <w:rFonts w:hint="eastAsia" w:ascii="仿宋_GB2312" w:hAnsi="仿宋" w:eastAsia="仿宋_GB2312" w:cs="黑体"/>
          <w:color w:val="auto"/>
          <w:kern w:val="0"/>
          <w:sz w:val="32"/>
          <w:szCs w:val="32"/>
          <w:lang w:val="en-US" w:eastAsia="zh-CN"/>
        </w:rPr>
        <w:t>润易集团始终坚持对特种纸的研发和创新，始终不忘重振济南造纸产业的初心，借助新旧动能转换有利契机，把企业的传统造纸产业，采取实施外迁战略，在齐河县潘店镇重新建设特种纸生产基地。经过从筹划论证到施工建设，历经一年半的时间就顺利进入了调试生产，目前已全面正式生产。在此基础上，在抓好特种纸生产的前提下，要继续加快推进项目二期工程建设，力争尽快全面完成特种纸生产基地建设并取得成效，同时，加快特种纸研发中心升级工作，争取用三年时间达到省级标准并逐步达到国家级标准。在实现企业升级发展的基础上，按照上市公司要求，规范做好各项准备工作，力争早日实现济南特种纸产业整体上市进入资本市场的目标。</w:t>
      </w:r>
    </w:p>
    <w:p>
      <w:pPr>
        <w:pStyle w:val="7"/>
        <w:shd w:val="clear" w:color="auto" w:fill="FFFFFF"/>
        <w:spacing w:before="0" w:beforeAutospacing="0" w:after="0" w:afterAutospacing="0" w:line="240" w:lineRule="auto"/>
        <w:ind w:firstLine="643" w:firstLineChars="200"/>
        <w:jc w:val="both"/>
        <w:rPr>
          <w:rFonts w:hint="eastAsia" w:ascii="仿宋_GB2312" w:hAnsi="楷体" w:eastAsia="仿宋_GB2312" w:cs="楷体"/>
          <w:b/>
          <w:kern w:val="2"/>
          <w:sz w:val="32"/>
          <w:szCs w:val="32"/>
          <w:lang w:val="en-US" w:eastAsia="zh-CN" w:bidi="ar-SA"/>
        </w:rPr>
      </w:pPr>
      <w:r>
        <w:rPr>
          <w:rFonts w:hint="eastAsia" w:ascii="仿宋_GB2312" w:hAnsi="楷体" w:eastAsia="仿宋_GB2312" w:cs="楷体"/>
          <w:b/>
          <w:kern w:val="2"/>
          <w:sz w:val="32"/>
          <w:szCs w:val="32"/>
          <w:lang w:val="en-US" w:eastAsia="zh-CN" w:bidi="ar-SA"/>
        </w:rPr>
        <w:t>2、“鲁丰创意1908”项目——济南市重点打造的夜经济主题街区</w:t>
      </w:r>
    </w:p>
    <w:p>
      <w:pPr>
        <w:pStyle w:val="7"/>
        <w:shd w:val="clear" w:color="auto" w:fill="FFFFFF"/>
        <w:spacing w:before="0" w:beforeAutospacing="0" w:after="0" w:afterAutospacing="0" w:line="240" w:lineRule="auto"/>
        <w:ind w:firstLine="640" w:firstLineChars="200"/>
        <w:jc w:val="both"/>
        <w:rPr>
          <w:rFonts w:hint="eastAsia" w:ascii="仿宋_GB2312" w:hAnsi="仿宋" w:eastAsia="仿宋_GB2312" w:cs="仿宋"/>
          <w:color w:val="auto"/>
          <w:kern w:val="0"/>
          <w:sz w:val="32"/>
          <w:szCs w:val="32"/>
          <w:lang w:val="en-US" w:eastAsia="zh-CN" w:bidi="ar-SA"/>
        </w:rPr>
      </w:pPr>
      <w:r>
        <w:rPr>
          <w:rFonts w:hint="eastAsia" w:ascii="仿宋_GB2312" w:hAnsi="仿宋" w:eastAsia="仿宋_GB2312" w:cs="仿宋"/>
          <w:color w:val="auto"/>
          <w:kern w:val="0"/>
          <w:sz w:val="32"/>
          <w:szCs w:val="32"/>
          <w:lang w:val="en-US" w:eastAsia="zh-CN" w:bidi="ar-SA"/>
        </w:rPr>
        <w:t>鲁丰公司将加大业态调整，一是由招商变选商，淘汰与“鲁丰创意1908”产业园区不协调的业态，使驻区业态与吃住娱乐游教相一致的产业，逐渐选择国际国内知名品牌企业入驻。二是在出租房屋的基础上有选择性的向自主经营转变，重点考虑：文化市场经营、宾馆加盟经营、快餐连锁加盟经营、高端娱乐场所经营等，形成知名商业街区的同时，开拓多种经营模式，确保国有资产保值增值。三是做好园区立体车库配套建设，进一步改善园区环境面貌，提升营商环境，使企业变招商为选商，真正在践行新旧动能转换中，将鲁丰公司打造成为老国企实现转型升级发展的新样板。</w:t>
      </w:r>
    </w:p>
    <w:p>
      <w:pPr>
        <w:numPr>
          <w:ilvl w:val="0"/>
          <w:numId w:val="2"/>
        </w:numPr>
        <w:ind w:firstLine="643" w:firstLineChars="200"/>
        <w:jc w:val="both"/>
        <w:rPr>
          <w:rFonts w:hint="eastAsia" w:ascii="仿宋_GB2312" w:hAnsi="楷体" w:eastAsia="仿宋_GB2312" w:cs="楷体"/>
          <w:b/>
          <w:kern w:val="2"/>
          <w:sz w:val="32"/>
          <w:szCs w:val="32"/>
          <w:lang w:val="en-US" w:eastAsia="zh-CN" w:bidi="ar-SA"/>
        </w:rPr>
      </w:pPr>
      <w:r>
        <w:rPr>
          <w:rFonts w:hint="eastAsia" w:ascii="仿宋_GB2312" w:hAnsi="楷体" w:eastAsia="仿宋_GB2312" w:cs="楷体"/>
          <w:b/>
          <w:kern w:val="2"/>
          <w:sz w:val="32"/>
          <w:szCs w:val="32"/>
          <w:lang w:val="en-US" w:eastAsia="zh-CN" w:bidi="ar-SA"/>
        </w:rPr>
        <w:t>晨光、金至宗地项目——天桥区发展规划重点项目</w:t>
      </w:r>
    </w:p>
    <w:p>
      <w:pPr>
        <w:numPr>
          <w:ilvl w:val="0"/>
          <w:numId w:val="0"/>
        </w:numPr>
        <w:ind w:firstLine="640" w:firstLineChars="200"/>
        <w:jc w:val="both"/>
        <w:rPr>
          <w:rFonts w:hint="eastAsia" w:ascii="仿宋_GB2312" w:hAnsi="仿宋" w:eastAsia="仿宋_GB2312" w:cs="仿宋"/>
          <w:color w:val="auto"/>
          <w:kern w:val="0"/>
          <w:sz w:val="32"/>
          <w:szCs w:val="32"/>
          <w:lang w:val="en-US" w:eastAsia="zh-CN" w:bidi="ar-SA"/>
        </w:rPr>
      </w:pPr>
      <w:r>
        <w:rPr>
          <w:rFonts w:hint="eastAsia" w:ascii="仿宋_GB2312" w:hAnsi="仿宋" w:eastAsia="仿宋_GB2312" w:cs="仿宋"/>
          <w:color w:val="auto"/>
          <w:kern w:val="0"/>
          <w:sz w:val="32"/>
          <w:szCs w:val="32"/>
          <w:lang w:val="en-US" w:eastAsia="zh-CN" w:bidi="ar-SA"/>
        </w:rPr>
        <w:t>与路劲公司签订晨光、金至宗地项目已历时四年多，其中，涉及润易集团需要做的工作都已完成，但项目至今没有落地，其主要原因是土地政策发生变化，为此导致该项目一直无法顺利推进，也使润易集团最初设想的利用引增量、盘存量助推企业发展的规划无法实施。为更好推进晨光、金至宗地项目，结合目前面临的实际现状，集团本着减少企业损失、企业利益最大化的原则，成立工作小组，形成解决后续事宜的工作方案。2020年5月，市委书记孙立成同志到天桥区进行工作调研，并对天桥区国有企业老厂区改造提升提出要求。天桥区委、区政府按照孙立成书记的要求，组织专班与润易集团进行对接，准备联合第三方接手晨光、金至宗地项目的开发，润易集团抓住这个有利时机，积极与天桥区政府进行配合，通过依托天桥区政府妥善解决好路劲公司的退出问题，同时利用土地收益能够解决好企业内外债务、职工安置和企业后续发展等问题。</w:t>
      </w:r>
    </w:p>
    <w:p>
      <w:pPr>
        <w:numPr>
          <w:ilvl w:val="0"/>
          <w:numId w:val="0"/>
        </w:numPr>
        <w:ind w:firstLine="643" w:firstLineChars="200"/>
        <w:jc w:val="both"/>
        <w:rPr>
          <w:rFonts w:hint="eastAsia" w:ascii="仿宋_GB2312" w:hAnsi="仿宋" w:eastAsia="仿宋_GB2312" w:cs="黑体"/>
          <w:b w:val="0"/>
          <w:color w:val="auto"/>
          <w:kern w:val="0"/>
          <w:sz w:val="32"/>
          <w:szCs w:val="32"/>
          <w:lang w:val="en-US" w:eastAsia="zh-CN" w:bidi="ar-SA"/>
        </w:rPr>
      </w:pPr>
      <w:r>
        <w:rPr>
          <w:rFonts w:hint="eastAsia" w:ascii="仿宋_GB2312" w:hAnsi="楷体" w:eastAsia="仿宋_GB2312" w:cs="楷体"/>
          <w:b/>
          <w:kern w:val="2"/>
          <w:sz w:val="32"/>
          <w:szCs w:val="32"/>
          <w:lang w:val="en-US" w:eastAsia="zh-CN" w:bidi="ar-SA"/>
        </w:rPr>
        <w:t>4、积极探索空港公司产业园项目</w:t>
      </w:r>
    </w:p>
    <w:p>
      <w:pPr>
        <w:pStyle w:val="2"/>
        <w:ind w:firstLine="640" w:firstLineChars="200"/>
        <w:jc w:val="both"/>
        <w:rPr>
          <w:rFonts w:hint="eastAsia" w:ascii="仿宋_GB2312" w:hAnsi="仿宋" w:eastAsia="仿宋_GB2312" w:cs="黑体"/>
          <w:b w:val="0"/>
          <w:color w:val="auto"/>
          <w:kern w:val="0"/>
          <w:sz w:val="32"/>
          <w:szCs w:val="32"/>
          <w:lang w:val="en-US" w:eastAsia="zh-CN" w:bidi="ar-SA"/>
        </w:rPr>
      </w:pPr>
      <w:r>
        <w:rPr>
          <w:rFonts w:hint="eastAsia" w:ascii="仿宋_GB2312" w:hAnsi="仿宋" w:eastAsia="仿宋_GB2312" w:cs="黑体"/>
          <w:b w:val="0"/>
          <w:color w:val="auto"/>
          <w:kern w:val="0"/>
          <w:sz w:val="32"/>
          <w:szCs w:val="32"/>
          <w:lang w:val="en-US" w:eastAsia="zh-CN" w:bidi="ar-SA"/>
        </w:rPr>
        <w:t>集团所属空港公司一直致力于产业转型、改善经营状况，结合所在区域的相关政策指引，创新工作思路，拓展工作方法，不断探索企业的转型发展，始终坚持以市场为导向，积极寻求合作伙伴，为企业提供新的发展机遇和空间，以高质量项目推动企业高质量发展，今后，集团将持之以恒的深入研究符合空港公司实际的新项目，在现有优势中提高国有资产利用率，放大国有资本，并拟将空港公司探索打造的新项目作为集团第二主业发展实施。</w:t>
      </w:r>
    </w:p>
    <w:p>
      <w:pPr>
        <w:numPr>
          <w:ilvl w:val="0"/>
          <w:numId w:val="0"/>
        </w:numPr>
        <w:ind w:firstLine="643" w:firstLineChars="200"/>
        <w:jc w:val="both"/>
        <w:rPr>
          <w:rFonts w:hint="eastAsia" w:ascii="仿宋_GB2312" w:hAnsi="楷体" w:eastAsia="仿宋_GB2312" w:cs="楷体"/>
          <w:b/>
          <w:kern w:val="2"/>
          <w:sz w:val="32"/>
          <w:szCs w:val="32"/>
          <w:lang w:val="en-US" w:eastAsia="zh-CN" w:bidi="ar-SA"/>
        </w:rPr>
      </w:pPr>
      <w:r>
        <w:rPr>
          <w:rFonts w:hint="eastAsia" w:ascii="仿宋_GB2312" w:hAnsi="楷体" w:eastAsia="仿宋_GB2312" w:cs="楷体"/>
          <w:b/>
          <w:kern w:val="2"/>
          <w:sz w:val="32"/>
          <w:szCs w:val="32"/>
          <w:lang w:val="en-US" w:eastAsia="zh-CN" w:bidi="ar-SA"/>
        </w:rPr>
        <w:t>5、深入推进混合所有制改革</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lang w:val="en-US" w:eastAsia="zh-CN"/>
        </w:rPr>
      </w:pPr>
      <w:r>
        <w:rPr>
          <w:rFonts w:hint="eastAsia" w:ascii="仿宋_GB2312" w:hAnsi="仿宋" w:eastAsia="仿宋_GB2312" w:cs="黑体"/>
          <w:color w:val="auto"/>
          <w:kern w:val="0"/>
          <w:sz w:val="32"/>
          <w:szCs w:val="32"/>
        </w:rPr>
        <w:t>为贯彻新发展理念，精准发力推动改革既定目标，润易集团谋发展、找出路，曾先后与仁恒发展(天津)有限公司、恒通物流股份有限公司、朗威（青岛）控股集团有限公司等多家有实力的公司就混改事宜进行过接触，虽没有取得实质性突破，但通过尝试也取得了一些有益经验。</w:t>
      </w:r>
      <w:r>
        <w:rPr>
          <w:rFonts w:hint="eastAsia" w:ascii="仿宋_GB2312" w:hAnsi="仿宋" w:eastAsia="仿宋_GB2312" w:cs="黑体"/>
          <w:color w:val="auto"/>
          <w:kern w:val="0"/>
          <w:sz w:val="32"/>
          <w:szCs w:val="32"/>
          <w:lang w:val="en-US" w:eastAsia="zh-CN"/>
        </w:rPr>
        <w:t>进入2020年以来，为扎实有效做好混改工作，专门成立工作专班，重点负责推进混改工作。特别是5月份，市国资委下发了《关于济南润易集团有限公司、济南大易造纸有限公司等公司混改立项的批复》（济国资企改[2020]3号）后，一方面开展了清产核资、审计评估等工作。同时，为了依法规范的推进混改工作，我们还健全完善了集团工会组织，并聘请了专业律师为混改工作提供法律服务保障；另一方面为了确保战投方参与混改投资，我们和战投方于6月3日签订了《框架协议》，在实际操作过程中，因战投方资金周转比较紧张，没有能力按《框架协议》要求履约，后经双方协商，于12月22日解除了《框架协议》，待条件成熟后继续探讨有关合作事宜。润易集团按照市国资委要求，加大推进企业混改工作力度，始终坚持通过实施混改，引进战略者资金，为国企注入活力，盘活国有资产，放大国有资本功能，提高国有资本配置和运行效率，达到实现企业可持续发展的目的。</w:t>
      </w:r>
    </w:p>
    <w:p>
      <w:pPr>
        <w:pStyle w:val="7"/>
        <w:shd w:val="clear" w:color="auto" w:fill="FFFFFF"/>
        <w:spacing w:before="0" w:beforeAutospacing="0" w:after="0" w:afterAutospacing="0" w:line="240" w:lineRule="auto"/>
        <w:ind w:firstLine="675" w:firstLineChars="200"/>
        <w:jc w:val="both"/>
        <w:rPr>
          <w:rFonts w:hint="default" w:ascii="楷体" w:hAnsi="楷体" w:eastAsia="楷体" w:cs="楷体"/>
          <w:b/>
          <w:spacing w:val="8"/>
          <w:sz w:val="32"/>
          <w:szCs w:val="32"/>
          <w:shd w:val="clear" w:color="auto" w:fill="FFFFFF"/>
          <w:lang w:val="en-US" w:eastAsia="zh-CN"/>
        </w:rPr>
      </w:pPr>
      <w:r>
        <w:rPr>
          <w:rFonts w:hint="eastAsia" w:ascii="楷体" w:hAnsi="楷体" w:eastAsia="楷体" w:cs="楷体"/>
          <w:b/>
          <w:spacing w:val="8"/>
          <w:sz w:val="32"/>
          <w:szCs w:val="32"/>
          <w:shd w:val="clear" w:color="auto" w:fill="FFFFFF"/>
          <w:lang w:eastAsia="zh-CN"/>
        </w:rPr>
        <w:t>（</w:t>
      </w:r>
      <w:r>
        <w:rPr>
          <w:rFonts w:hint="eastAsia" w:ascii="楷体" w:hAnsi="楷体" w:eastAsia="楷体" w:cs="楷体"/>
          <w:b/>
          <w:spacing w:val="8"/>
          <w:sz w:val="32"/>
          <w:szCs w:val="32"/>
          <w:shd w:val="clear" w:color="auto" w:fill="FFFFFF"/>
          <w:lang w:val="en-US" w:eastAsia="zh-CN"/>
        </w:rPr>
        <w:t>五</w:t>
      </w:r>
      <w:r>
        <w:rPr>
          <w:rFonts w:hint="eastAsia" w:ascii="楷体" w:hAnsi="楷体" w:eastAsia="楷体" w:cs="楷体"/>
          <w:b/>
          <w:spacing w:val="8"/>
          <w:sz w:val="32"/>
          <w:szCs w:val="32"/>
          <w:shd w:val="clear" w:color="auto" w:fill="FFFFFF"/>
          <w:lang w:eastAsia="zh-CN"/>
        </w:rPr>
        <w:t>）</w:t>
      </w:r>
      <w:r>
        <w:rPr>
          <w:rFonts w:hint="eastAsia" w:ascii="楷体" w:hAnsi="楷体" w:eastAsia="楷体" w:cs="楷体"/>
          <w:b/>
          <w:spacing w:val="8"/>
          <w:sz w:val="32"/>
          <w:szCs w:val="32"/>
          <w:shd w:val="clear" w:color="auto" w:fill="FFFFFF"/>
        </w:rPr>
        <w:t>规划期内实施计划与</w:t>
      </w:r>
      <w:r>
        <w:rPr>
          <w:rFonts w:hint="eastAsia" w:ascii="楷体" w:hAnsi="楷体" w:eastAsia="楷体" w:cs="楷体"/>
          <w:b/>
          <w:spacing w:val="8"/>
          <w:sz w:val="32"/>
          <w:szCs w:val="32"/>
          <w:shd w:val="clear" w:color="auto" w:fill="FFFFFF"/>
          <w:lang w:val="en-US" w:eastAsia="zh-CN"/>
        </w:rPr>
        <w:t>保障</w:t>
      </w:r>
      <w:r>
        <w:rPr>
          <w:rFonts w:hint="eastAsia" w:ascii="楷体" w:hAnsi="楷体" w:eastAsia="楷体" w:cs="楷体"/>
          <w:b/>
          <w:spacing w:val="8"/>
          <w:sz w:val="32"/>
          <w:szCs w:val="32"/>
          <w:shd w:val="clear" w:color="auto" w:fill="FFFFFF"/>
        </w:rPr>
        <w:t>措施</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仿宋_GB2312" w:hAnsi="仿宋" w:eastAsia="仿宋_GB2312" w:cs="仿宋"/>
          <w:color w:val="auto"/>
          <w:kern w:val="0"/>
          <w:sz w:val="32"/>
          <w:szCs w:val="32"/>
          <w:lang w:val="en-US" w:eastAsia="zh-CN" w:bidi="ar-SA"/>
        </w:rPr>
      </w:pPr>
      <w:r>
        <w:rPr>
          <w:rFonts w:hint="eastAsia" w:ascii="仿宋_GB2312" w:hAnsi="仿宋" w:eastAsia="仿宋_GB2312" w:cs="仿宋"/>
          <w:color w:val="auto"/>
          <w:kern w:val="0"/>
          <w:sz w:val="32"/>
          <w:szCs w:val="32"/>
          <w:lang w:val="en-US" w:eastAsia="zh-CN" w:bidi="ar-SA"/>
        </w:rPr>
        <w:t>2020年是“十四五”规划部署的关键之年，把握好远期规划与近期需要，突出以改革创新破解发展难题，明确战略定位，突出规划重点，把发展机遇研判准，把困难挑战分析透，加强党的领导、班子建设，提高管理水平，调动各类人才，更好地助力于我市建设“大强美富通”现代化国际大都市的目标。</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default" w:ascii="仿宋_GB2312" w:hAnsi="仿宋" w:eastAsia="仿宋_GB2312" w:cs="仿宋"/>
          <w:color w:val="auto"/>
          <w:kern w:val="0"/>
          <w:sz w:val="32"/>
          <w:szCs w:val="32"/>
          <w:lang w:val="en-US" w:eastAsia="zh-CN" w:bidi="ar-SA"/>
        </w:rPr>
      </w:pPr>
      <w:r>
        <w:rPr>
          <w:rFonts w:hint="eastAsia" w:ascii="仿宋_GB2312" w:hAnsi="楷体" w:eastAsia="仿宋_GB2312" w:cs="楷体"/>
          <w:b/>
          <w:sz w:val="32"/>
          <w:szCs w:val="32"/>
          <w:lang w:val="en-US" w:eastAsia="zh-CN"/>
        </w:rPr>
        <w:t>1、党建引领。</w:t>
      </w:r>
      <w:r>
        <w:rPr>
          <w:rFonts w:hint="eastAsia" w:ascii="仿宋_GB2312" w:hAnsi="仿宋" w:eastAsia="仿宋_GB2312" w:cs="仿宋"/>
          <w:color w:val="auto"/>
          <w:kern w:val="0"/>
          <w:sz w:val="32"/>
          <w:szCs w:val="32"/>
          <w:lang w:val="en-US" w:eastAsia="zh-CN" w:bidi="ar-SA"/>
        </w:rPr>
        <w:t>以习近平新时代中国特色社会主义思想为指导，深入贯彻落实新时代党的建设总要求和新时代党的组织路线，全面加强党的领导，提升党建工作，深入实施党组织标准化建设，深入推进全面从严治党，加强党性党风党纪和警示教育，推动党建工作与国资国企改革发展深度融合，以高质量党建引领高质量发展。</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仿宋_GB2312" w:hAnsi="仿宋" w:eastAsia="仿宋_GB2312" w:cs="仿宋"/>
          <w:color w:val="auto"/>
          <w:kern w:val="0"/>
          <w:sz w:val="32"/>
          <w:szCs w:val="32"/>
          <w:lang w:val="en-US" w:eastAsia="zh-CN" w:bidi="ar-SA"/>
        </w:rPr>
      </w:pPr>
      <w:r>
        <w:rPr>
          <w:rFonts w:hint="eastAsia" w:ascii="仿宋_GB2312" w:hAnsi="楷体" w:eastAsia="仿宋_GB2312" w:cs="楷体"/>
          <w:b/>
          <w:sz w:val="32"/>
          <w:szCs w:val="32"/>
          <w:lang w:val="en-US" w:eastAsia="zh-CN"/>
        </w:rPr>
        <w:t>2、观念创新。</w:t>
      </w:r>
      <w:r>
        <w:rPr>
          <w:rFonts w:hint="eastAsia" w:ascii="仿宋_GB2312" w:hAnsi="仿宋" w:eastAsia="仿宋_GB2312" w:cs="仿宋"/>
          <w:color w:val="auto"/>
          <w:kern w:val="0"/>
          <w:sz w:val="32"/>
          <w:szCs w:val="32"/>
          <w:lang w:val="en-US" w:eastAsia="zh-CN" w:bidi="ar-SA"/>
        </w:rPr>
        <w:t>研究社会经济现状和发展趋势，研究技术与市场结合思路，把握最新市场信息，努力适应行业新常态下的新规制、新体制和新环境，切实做到“三统一”（统一战略方向、统一发展途径、统一价值理念）和“三强化”（强化市场意识、强化责任意识、强化团队意识）。通过企业文化的重塑，增强员工的向心力和凝聚力，保障企业战略目标的顺利实现。</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仿宋_GB2312" w:hAnsi="仿宋" w:eastAsia="仿宋_GB2312" w:cs="仿宋"/>
          <w:color w:val="auto"/>
          <w:kern w:val="0"/>
          <w:sz w:val="32"/>
          <w:szCs w:val="32"/>
          <w:lang w:val="en-US" w:eastAsia="zh-CN" w:bidi="ar-SA"/>
        </w:rPr>
      </w:pPr>
      <w:r>
        <w:rPr>
          <w:rFonts w:hint="eastAsia" w:ascii="仿宋_GB2312" w:hAnsi="楷体" w:eastAsia="仿宋_GB2312" w:cs="楷体"/>
          <w:b/>
          <w:sz w:val="32"/>
          <w:szCs w:val="32"/>
          <w:lang w:val="en-US" w:eastAsia="zh-CN"/>
        </w:rPr>
        <w:t>3、体制创新。</w:t>
      </w:r>
      <w:r>
        <w:rPr>
          <w:rFonts w:hint="eastAsia" w:ascii="仿宋_GB2312" w:hAnsi="仿宋" w:eastAsia="仿宋_GB2312" w:cs="仿宋"/>
          <w:color w:val="auto"/>
          <w:kern w:val="0"/>
          <w:sz w:val="32"/>
          <w:szCs w:val="32"/>
          <w:lang w:val="en-US" w:eastAsia="zh-CN" w:bidi="ar-SA"/>
        </w:rPr>
        <w:t>积极、稳妥、因势利导地破除体制、机制的束缚，把加快内部体制改革作为紧迫而重要的任务来抓。结合公司实际，以适应市场、解放生产力、提升效益为目标，本着整合企业资源、构建规模经济、释放人才资源、提高工作效率的基本原则，深度剖析混改政策，充分发挥市场机制，全面提速混改工作，通过政策文件助力，树立全局观念，完善运营机制，增强企业活力，提高企业抗风险能力，提高国有资本回报率，杜绝国有资产流失，放大国有资本功能，实现企业可持续发展的目的。</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仿宋_GB2312" w:hAnsi="仿宋" w:eastAsia="仿宋_GB2312" w:cs="仿宋"/>
          <w:color w:val="auto"/>
          <w:kern w:val="0"/>
          <w:sz w:val="32"/>
          <w:szCs w:val="32"/>
          <w:lang w:val="en-US" w:eastAsia="zh-CN" w:bidi="ar-SA"/>
        </w:rPr>
      </w:pPr>
      <w:r>
        <w:rPr>
          <w:rFonts w:hint="eastAsia" w:ascii="仿宋_GB2312" w:hAnsi="楷体" w:eastAsia="仿宋_GB2312" w:cs="楷体"/>
          <w:b/>
          <w:sz w:val="32"/>
          <w:szCs w:val="32"/>
          <w:lang w:val="en-US" w:eastAsia="zh-CN"/>
        </w:rPr>
        <w:t>4、机制创新。</w:t>
      </w:r>
      <w:r>
        <w:rPr>
          <w:rFonts w:hint="eastAsia" w:ascii="仿宋_GB2312" w:hAnsi="仿宋" w:eastAsia="仿宋_GB2312" w:cs="仿宋"/>
          <w:color w:val="auto"/>
          <w:kern w:val="0"/>
          <w:sz w:val="32"/>
          <w:szCs w:val="32"/>
          <w:lang w:val="en-US" w:eastAsia="zh-CN" w:bidi="ar-SA"/>
        </w:rPr>
        <w:t>着力完善人才发展机制，提高“双招双引”质效，及时动态调整和优化人力资源部署，加强人才传承的培养机制，有进有退的激励机制，从数量和质量两个层面为实现公司整体战略提供强有力的人力资源保障。建立健全以市场和客户为导向的市场开拓与营销机制，通过制订与实施一系列配套考核、奖惩办法，充分调动全员营销的积极性和创造性。</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仿宋_GB2312" w:hAnsi="仿宋" w:eastAsia="仿宋_GB2312" w:cs="仿宋"/>
          <w:color w:val="auto"/>
          <w:kern w:val="0"/>
          <w:sz w:val="32"/>
          <w:szCs w:val="32"/>
          <w:lang w:val="en-US" w:eastAsia="zh-CN" w:bidi="ar-SA"/>
        </w:rPr>
      </w:pPr>
      <w:r>
        <w:rPr>
          <w:rFonts w:hint="eastAsia" w:ascii="仿宋_GB2312" w:hAnsi="楷体" w:eastAsia="仿宋_GB2312" w:cs="楷体"/>
          <w:b/>
          <w:sz w:val="32"/>
          <w:szCs w:val="32"/>
          <w:lang w:val="en-US" w:eastAsia="zh-CN"/>
        </w:rPr>
        <w:t>5、管理创新。</w:t>
      </w:r>
      <w:r>
        <w:rPr>
          <w:rFonts w:hint="eastAsia" w:ascii="仿宋_GB2312" w:hAnsi="仿宋" w:eastAsia="仿宋_GB2312" w:cs="仿宋"/>
          <w:color w:val="auto"/>
          <w:kern w:val="0"/>
          <w:sz w:val="32"/>
          <w:szCs w:val="32"/>
          <w:lang w:val="en-US" w:eastAsia="zh-CN" w:bidi="ar-SA"/>
        </w:rPr>
        <w:t>深化“放管服”改革，形成管理人员能上能下，员工能进能出，收入能增能减的常态化，建立健全企业的管理制度体系，打造符合自身特点的管控模式，打造学习型组织，始终保持组织活力。积极发挥国有企业党组织在企业生产经营中的作用，把党的领导融入公司治理各个环节，加快建立现代企业制度改革。</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仿宋_GB2312" w:hAnsi="仿宋" w:eastAsia="仿宋_GB2312" w:cs="仿宋"/>
          <w:color w:val="auto"/>
          <w:kern w:val="0"/>
          <w:sz w:val="32"/>
          <w:szCs w:val="32"/>
          <w:lang w:val="en-US" w:eastAsia="zh-CN" w:bidi="ar-SA"/>
        </w:rPr>
      </w:pPr>
      <w:r>
        <w:rPr>
          <w:rFonts w:hint="eastAsia" w:ascii="仿宋_GB2312" w:hAnsi="楷体" w:eastAsia="仿宋_GB2312" w:cs="楷体"/>
          <w:b/>
          <w:sz w:val="32"/>
          <w:szCs w:val="32"/>
          <w:lang w:val="en-US" w:eastAsia="zh-CN"/>
        </w:rPr>
        <w:t>6、技术创新。</w:t>
      </w:r>
      <w:r>
        <w:rPr>
          <w:rFonts w:hint="eastAsia" w:ascii="仿宋_GB2312" w:hAnsi="仿宋" w:eastAsia="仿宋_GB2312" w:cs="仿宋"/>
          <w:color w:val="auto"/>
          <w:kern w:val="0"/>
          <w:sz w:val="32"/>
          <w:szCs w:val="32"/>
          <w:lang w:val="en-US" w:eastAsia="zh-CN" w:bidi="ar-SA"/>
        </w:rPr>
        <w:t>建立健全技术创新体系，通过技术含量的不断提高，提升公司的产业层次。依靠专家委员会的自身优势，以市场需求为导向,选择可持续发展的重点项目，有计划地、有前瞻性地开展技术工作。积极跟踪科技创新水平和行业发展动态，加大科研投入，加快咨询科技成果的总结和推广，将科技优势转化为竞争优势，加强与大专院校或科研院所进行合作，通过产、学、研结合，共同提高技术创新能力。</w:t>
      </w:r>
    </w:p>
    <w:p>
      <w:pPr>
        <w:keepNext w:val="0"/>
        <w:keepLines w:val="0"/>
        <w:pageBreakBefore w:val="0"/>
        <w:widowControl w:val="0"/>
        <w:kinsoku/>
        <w:wordWrap/>
        <w:overflowPunct/>
        <w:topLinePunct w:val="0"/>
        <w:autoSpaceDE/>
        <w:autoSpaceDN/>
        <w:bidi w:val="0"/>
        <w:adjustRightInd w:val="0"/>
        <w:snapToGrid w:val="0"/>
        <w:spacing w:line="600" w:lineRule="exact"/>
        <w:ind w:firstLine="643" w:firstLineChars="200"/>
        <w:textAlignment w:val="auto"/>
        <w:rPr>
          <w:rFonts w:hint="eastAsia" w:ascii="仿宋_GB2312" w:hAnsi="仿宋" w:eastAsia="仿宋_GB2312" w:cs="仿宋"/>
          <w:color w:val="auto"/>
          <w:kern w:val="0"/>
          <w:sz w:val="32"/>
          <w:szCs w:val="32"/>
          <w:lang w:val="en-US" w:eastAsia="zh-CN" w:bidi="ar-SA"/>
        </w:rPr>
      </w:pPr>
      <w:r>
        <w:rPr>
          <w:rFonts w:hint="eastAsia" w:ascii="仿宋_GB2312" w:hAnsi="楷体" w:eastAsia="仿宋_GB2312" w:cs="楷体"/>
          <w:b/>
          <w:sz w:val="32"/>
          <w:szCs w:val="32"/>
          <w:lang w:val="en-US" w:eastAsia="zh-CN"/>
        </w:rPr>
        <w:t>7</w:t>
      </w:r>
      <w:r>
        <w:rPr>
          <w:rFonts w:hint="eastAsia" w:ascii="仿宋_GB2312" w:hAnsi="楷体" w:eastAsia="仿宋_GB2312" w:cs="楷体"/>
          <w:b/>
          <w:sz w:val="32"/>
          <w:szCs w:val="32"/>
        </w:rPr>
        <w:t>、安全保障。</w:t>
      </w:r>
      <w:r>
        <w:rPr>
          <w:rFonts w:hint="eastAsia" w:ascii="仿宋_GB2312" w:hAnsi="仿宋" w:eastAsia="仿宋_GB2312" w:cs="仿宋"/>
          <w:color w:val="auto"/>
          <w:kern w:val="0"/>
          <w:sz w:val="32"/>
          <w:szCs w:val="32"/>
          <w:lang w:val="en-US" w:eastAsia="zh-CN" w:bidi="ar-SA"/>
        </w:rPr>
        <w:t>严格落实安全生产责任制，深刻汲取安全生产事故经验教训，充分认识安全生产工作的艰巨性和重要性，增强忧患意识、责任意识和大局意识，结合企业实际，切实做好安全生产管理，不断夯实安全生产基础工作，深入开展系列安全培训活动，将安全生产责任落实到生产经营每一个环节，实现全员落实责任、全员参与管理，推动安全生产与质量管理有效衔接，确保企业安全生产和高质量发展。</w:t>
      </w: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D9EEC90-54C7-4CC6-BA94-A518F6E7AC8F}"/>
  </w:font>
  <w:font w:name="黑体">
    <w:panose1 w:val="02010609060101010101"/>
    <w:charset w:val="86"/>
    <w:family w:val="auto"/>
    <w:pitch w:val="default"/>
    <w:sig w:usb0="800002BF" w:usb1="38CF7CFA" w:usb2="00000016" w:usb3="00000000" w:csb0="00040001" w:csb1="00000000"/>
    <w:embedRegular r:id="rId2" w:fontKey="{442F41A2-9931-49C8-893A-81DAE2B6F5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04BA7762-4A0B-4596-8162-DD29D1DF1FCC}"/>
  </w:font>
  <w:font w:name="仿宋_GB2312">
    <w:altName w:val="仿宋"/>
    <w:panose1 w:val="00000000000000000000"/>
    <w:charset w:val="86"/>
    <w:family w:val="modern"/>
    <w:pitch w:val="default"/>
    <w:sig w:usb0="00000000" w:usb1="00000000" w:usb2="00000010" w:usb3="00000000" w:csb0="00040000" w:csb1="00000000"/>
    <w:embedRegular r:id="rId4" w:fontKey="{132CAAC6-4FBF-44B1-A42D-0AD2C11713C5}"/>
  </w:font>
  <w:font w:name="楷体_GB2312">
    <w:altName w:val="楷体"/>
    <w:panose1 w:val="02010609030101010101"/>
    <w:charset w:val="86"/>
    <w:family w:val="modern"/>
    <w:pitch w:val="default"/>
    <w:sig w:usb0="00000000" w:usb1="00000000" w:usb2="00000010" w:usb3="00000000" w:csb0="00040000" w:csb1="00000000"/>
    <w:embedRegular r:id="rId5" w:fontKey="{2EE36C3E-6D80-4FC4-98E5-A2E8E236DB8B}"/>
  </w:font>
  <w:font w:name="楷体">
    <w:panose1 w:val="02010609060101010101"/>
    <w:charset w:val="86"/>
    <w:family w:val="auto"/>
    <w:pitch w:val="default"/>
    <w:sig w:usb0="800002BF" w:usb1="38CF7CFA" w:usb2="00000016" w:usb3="00000000" w:csb0="00040001" w:csb1="00000000"/>
    <w:embedRegular r:id="rId6" w:fontKey="{3E3EA243-6558-4D74-8EB6-14290FB01C9A}"/>
  </w:font>
  <w:font w:name="华文仿宋">
    <w:altName w:val="仿宋"/>
    <w:panose1 w:val="02010600040101010101"/>
    <w:charset w:val="86"/>
    <w:family w:val="auto"/>
    <w:pitch w:val="default"/>
    <w:sig w:usb0="00000000" w:usb1="00000000" w:usb2="00000000" w:usb3="00000000" w:csb0="0004009F" w:csb1="DFD70000"/>
    <w:embedRegular r:id="rId7" w:fontKey="{3B2E4446-6AC5-42D7-80B1-723F71742361}"/>
  </w:font>
  <w:font w:name="华文楷体">
    <w:altName w:val="宋体"/>
    <w:panose1 w:val="02010600040101010101"/>
    <w:charset w:val="86"/>
    <w:family w:val="auto"/>
    <w:pitch w:val="default"/>
    <w:sig w:usb0="00000000" w:usb1="00000000" w:usb2="00000000" w:usb3="00000000" w:csb0="0004009F" w:csb1="DFD70000"/>
    <w:embedRegular r:id="rId8" w:fontKey="{ECC19C84-C8A6-4CE1-AA51-2564FF43D79F}"/>
  </w:font>
  <w:font w:name="Helvetica">
    <w:altName w:val="Arial"/>
    <w:panose1 w:val="020B0604020202020204"/>
    <w:charset w:val="00"/>
    <w:family w:val="swiss"/>
    <w:pitch w:val="default"/>
    <w:sig w:usb0="00000000" w:usb1="00000000" w:usb2="00000008" w:usb3="00000000" w:csb0="000001FF" w:csb1="00000000"/>
    <w:embedRegular r:id="rId9" w:fontKey="{2AA29F3C-7971-40A6-8C10-3A362E4C3FFD}"/>
  </w:font>
  <w:font w:name="方正仿宋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embedRegular r:id="rId10" w:fontKey="{6CCBDF6D-FB66-4059-B4E9-8019F5063F5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251DEF"/>
    <w:multiLevelType w:val="singleLevel"/>
    <w:tmpl w:val="3D251DEF"/>
    <w:lvl w:ilvl="0" w:tentative="0">
      <w:start w:val="1"/>
      <w:numFmt w:val="chineseCounting"/>
      <w:suff w:val="nothing"/>
      <w:lvlText w:val="（%1）"/>
      <w:lvlJc w:val="left"/>
      <w:rPr>
        <w:rFonts w:hint="eastAsia"/>
      </w:rPr>
    </w:lvl>
  </w:abstractNum>
  <w:abstractNum w:abstractNumId="1">
    <w:nsid w:val="6DBD752A"/>
    <w:multiLevelType w:val="singleLevel"/>
    <w:tmpl w:val="6DBD752A"/>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embedTrueTypeFonts/>
  <w:saveSubset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4MDRhOTlhNGZmNzI1M2NiNmM0NTAyMWRiZTlhYTcifQ=="/>
  </w:docVars>
  <w:rsids>
    <w:rsidRoot w:val="00684CF6"/>
    <w:rsid w:val="00004697"/>
    <w:rsid w:val="000469AF"/>
    <w:rsid w:val="00054E6F"/>
    <w:rsid w:val="000A5279"/>
    <w:rsid w:val="003E454A"/>
    <w:rsid w:val="00605009"/>
    <w:rsid w:val="00684CF6"/>
    <w:rsid w:val="006A7820"/>
    <w:rsid w:val="006B5BFD"/>
    <w:rsid w:val="006D7807"/>
    <w:rsid w:val="00942D0C"/>
    <w:rsid w:val="009507A3"/>
    <w:rsid w:val="00966426"/>
    <w:rsid w:val="009C3804"/>
    <w:rsid w:val="00A62F7B"/>
    <w:rsid w:val="00A920BA"/>
    <w:rsid w:val="00A94254"/>
    <w:rsid w:val="00C06032"/>
    <w:rsid w:val="00C61296"/>
    <w:rsid w:val="00F23A8B"/>
    <w:rsid w:val="011A6594"/>
    <w:rsid w:val="02783588"/>
    <w:rsid w:val="02EC7951"/>
    <w:rsid w:val="03734299"/>
    <w:rsid w:val="03AD2B11"/>
    <w:rsid w:val="03C149B8"/>
    <w:rsid w:val="04E763F5"/>
    <w:rsid w:val="05A03ED1"/>
    <w:rsid w:val="05E8059B"/>
    <w:rsid w:val="06A466C0"/>
    <w:rsid w:val="06C25CFC"/>
    <w:rsid w:val="06CA7CFE"/>
    <w:rsid w:val="06E319CA"/>
    <w:rsid w:val="06ED50C9"/>
    <w:rsid w:val="06F84E94"/>
    <w:rsid w:val="072C224B"/>
    <w:rsid w:val="07C35E48"/>
    <w:rsid w:val="07DB672C"/>
    <w:rsid w:val="07E03B9C"/>
    <w:rsid w:val="081C08D7"/>
    <w:rsid w:val="0864462D"/>
    <w:rsid w:val="086F1B34"/>
    <w:rsid w:val="08D9368E"/>
    <w:rsid w:val="08E35360"/>
    <w:rsid w:val="093415D1"/>
    <w:rsid w:val="095503B5"/>
    <w:rsid w:val="09B2439A"/>
    <w:rsid w:val="0A0045F1"/>
    <w:rsid w:val="0A1D5524"/>
    <w:rsid w:val="0A3C022C"/>
    <w:rsid w:val="0A50660B"/>
    <w:rsid w:val="0A556593"/>
    <w:rsid w:val="0A916A48"/>
    <w:rsid w:val="0B382707"/>
    <w:rsid w:val="0B5A76CD"/>
    <w:rsid w:val="0BB52366"/>
    <w:rsid w:val="0BD6667B"/>
    <w:rsid w:val="0C1D2B29"/>
    <w:rsid w:val="0C977FB8"/>
    <w:rsid w:val="0CCA4CEE"/>
    <w:rsid w:val="0CD24DC8"/>
    <w:rsid w:val="0CF44F44"/>
    <w:rsid w:val="0DDB5443"/>
    <w:rsid w:val="0DED0DA1"/>
    <w:rsid w:val="0E2349DA"/>
    <w:rsid w:val="0EB2355F"/>
    <w:rsid w:val="0ECE3EF1"/>
    <w:rsid w:val="0ECF2F7E"/>
    <w:rsid w:val="0F422A9A"/>
    <w:rsid w:val="0F6E195B"/>
    <w:rsid w:val="0FCB6D0E"/>
    <w:rsid w:val="102302FC"/>
    <w:rsid w:val="1029700B"/>
    <w:rsid w:val="106F46FD"/>
    <w:rsid w:val="118627E7"/>
    <w:rsid w:val="120408A8"/>
    <w:rsid w:val="12261783"/>
    <w:rsid w:val="12697152"/>
    <w:rsid w:val="126F585F"/>
    <w:rsid w:val="12C957AE"/>
    <w:rsid w:val="134E41C3"/>
    <w:rsid w:val="135A5B0F"/>
    <w:rsid w:val="140426EA"/>
    <w:rsid w:val="140C4205"/>
    <w:rsid w:val="1416402C"/>
    <w:rsid w:val="145235F5"/>
    <w:rsid w:val="14687E09"/>
    <w:rsid w:val="14A957D9"/>
    <w:rsid w:val="14CB2048"/>
    <w:rsid w:val="14EC18C2"/>
    <w:rsid w:val="15022CDA"/>
    <w:rsid w:val="15A077E4"/>
    <w:rsid w:val="15D9186A"/>
    <w:rsid w:val="15E422AA"/>
    <w:rsid w:val="16166142"/>
    <w:rsid w:val="163515F4"/>
    <w:rsid w:val="16435F6D"/>
    <w:rsid w:val="16891AF3"/>
    <w:rsid w:val="16973546"/>
    <w:rsid w:val="16B1374F"/>
    <w:rsid w:val="16D61D5E"/>
    <w:rsid w:val="16D842F3"/>
    <w:rsid w:val="175E13DA"/>
    <w:rsid w:val="1787675E"/>
    <w:rsid w:val="179E6A2F"/>
    <w:rsid w:val="17B57020"/>
    <w:rsid w:val="18245AE6"/>
    <w:rsid w:val="18354597"/>
    <w:rsid w:val="187A54FE"/>
    <w:rsid w:val="19DB0E8D"/>
    <w:rsid w:val="1A750A2C"/>
    <w:rsid w:val="1B122F20"/>
    <w:rsid w:val="1B63691F"/>
    <w:rsid w:val="1B9D1C12"/>
    <w:rsid w:val="1C03009C"/>
    <w:rsid w:val="1CB5303D"/>
    <w:rsid w:val="1CB75154"/>
    <w:rsid w:val="1D1666A6"/>
    <w:rsid w:val="1D6834A6"/>
    <w:rsid w:val="1D7C5C3E"/>
    <w:rsid w:val="1DDE4F8A"/>
    <w:rsid w:val="1E602FDF"/>
    <w:rsid w:val="1EB14870"/>
    <w:rsid w:val="1F722CE2"/>
    <w:rsid w:val="1FE63AE6"/>
    <w:rsid w:val="21D327CD"/>
    <w:rsid w:val="21F83895"/>
    <w:rsid w:val="228B3AD6"/>
    <w:rsid w:val="232045C6"/>
    <w:rsid w:val="23313E29"/>
    <w:rsid w:val="235632BD"/>
    <w:rsid w:val="23AE330D"/>
    <w:rsid w:val="23B300F4"/>
    <w:rsid w:val="23FF5B0B"/>
    <w:rsid w:val="24576308"/>
    <w:rsid w:val="24BC1E64"/>
    <w:rsid w:val="26FF55A9"/>
    <w:rsid w:val="27236B2F"/>
    <w:rsid w:val="272D05BE"/>
    <w:rsid w:val="274A3F58"/>
    <w:rsid w:val="27537945"/>
    <w:rsid w:val="27D87729"/>
    <w:rsid w:val="2950157A"/>
    <w:rsid w:val="298762D7"/>
    <w:rsid w:val="29AC605F"/>
    <w:rsid w:val="29EF78FC"/>
    <w:rsid w:val="2A1A7143"/>
    <w:rsid w:val="2A415DB4"/>
    <w:rsid w:val="2A9540E8"/>
    <w:rsid w:val="2AB85776"/>
    <w:rsid w:val="2B266BE2"/>
    <w:rsid w:val="2B8C6784"/>
    <w:rsid w:val="2BCF0524"/>
    <w:rsid w:val="2C155299"/>
    <w:rsid w:val="2C2B0297"/>
    <w:rsid w:val="2C334A1A"/>
    <w:rsid w:val="2C626943"/>
    <w:rsid w:val="2C9105F2"/>
    <w:rsid w:val="2C9C0AAB"/>
    <w:rsid w:val="2CFF2BE9"/>
    <w:rsid w:val="2E86244E"/>
    <w:rsid w:val="2F822A8D"/>
    <w:rsid w:val="2F887D2D"/>
    <w:rsid w:val="2FEE44D5"/>
    <w:rsid w:val="30C70FBC"/>
    <w:rsid w:val="30CA35EB"/>
    <w:rsid w:val="32984DCD"/>
    <w:rsid w:val="32A70FE1"/>
    <w:rsid w:val="32E358DD"/>
    <w:rsid w:val="330B2D8D"/>
    <w:rsid w:val="33780254"/>
    <w:rsid w:val="33B60301"/>
    <w:rsid w:val="33ED239C"/>
    <w:rsid w:val="351F6FEE"/>
    <w:rsid w:val="35271EF0"/>
    <w:rsid w:val="35495715"/>
    <w:rsid w:val="369A005B"/>
    <w:rsid w:val="369F342C"/>
    <w:rsid w:val="380F2FA2"/>
    <w:rsid w:val="38713551"/>
    <w:rsid w:val="38B16063"/>
    <w:rsid w:val="38C53EB4"/>
    <w:rsid w:val="39551B21"/>
    <w:rsid w:val="398A1ABE"/>
    <w:rsid w:val="39CB1F5A"/>
    <w:rsid w:val="39ED2BA0"/>
    <w:rsid w:val="3A134A4A"/>
    <w:rsid w:val="3A2F7663"/>
    <w:rsid w:val="3A576BA4"/>
    <w:rsid w:val="3AD02611"/>
    <w:rsid w:val="3B847938"/>
    <w:rsid w:val="3BC10AB9"/>
    <w:rsid w:val="3BCB0876"/>
    <w:rsid w:val="3C7A38A6"/>
    <w:rsid w:val="3CB774EF"/>
    <w:rsid w:val="3CF0720B"/>
    <w:rsid w:val="3CF134B0"/>
    <w:rsid w:val="3D0620CA"/>
    <w:rsid w:val="3D063EE9"/>
    <w:rsid w:val="3D0C391B"/>
    <w:rsid w:val="3DE7224B"/>
    <w:rsid w:val="3DE95373"/>
    <w:rsid w:val="3E052A67"/>
    <w:rsid w:val="3E097815"/>
    <w:rsid w:val="3EE5654A"/>
    <w:rsid w:val="3F0E030E"/>
    <w:rsid w:val="3F955FDC"/>
    <w:rsid w:val="3FB312F4"/>
    <w:rsid w:val="41031863"/>
    <w:rsid w:val="41B528A3"/>
    <w:rsid w:val="41FE74F7"/>
    <w:rsid w:val="42284AAC"/>
    <w:rsid w:val="42605B04"/>
    <w:rsid w:val="436D3E27"/>
    <w:rsid w:val="44435B90"/>
    <w:rsid w:val="448448DC"/>
    <w:rsid w:val="4487742D"/>
    <w:rsid w:val="453768A6"/>
    <w:rsid w:val="45E4786E"/>
    <w:rsid w:val="465A2227"/>
    <w:rsid w:val="46A37452"/>
    <w:rsid w:val="474E04A3"/>
    <w:rsid w:val="47577AB4"/>
    <w:rsid w:val="47A16D72"/>
    <w:rsid w:val="4881280D"/>
    <w:rsid w:val="48B3490D"/>
    <w:rsid w:val="48B35E14"/>
    <w:rsid w:val="48BE21F9"/>
    <w:rsid w:val="49A86786"/>
    <w:rsid w:val="4B55234A"/>
    <w:rsid w:val="4C313C3D"/>
    <w:rsid w:val="4C366B43"/>
    <w:rsid w:val="4CB713A5"/>
    <w:rsid w:val="4CC535DD"/>
    <w:rsid w:val="4D1E26CA"/>
    <w:rsid w:val="4D5337E1"/>
    <w:rsid w:val="4D8650FC"/>
    <w:rsid w:val="4EE12CCE"/>
    <w:rsid w:val="4F126F04"/>
    <w:rsid w:val="4F4770D2"/>
    <w:rsid w:val="4F7C5FFD"/>
    <w:rsid w:val="4F9126E7"/>
    <w:rsid w:val="4FB339E3"/>
    <w:rsid w:val="4FBB7CF7"/>
    <w:rsid w:val="50866E7E"/>
    <w:rsid w:val="51B62464"/>
    <w:rsid w:val="51BE5821"/>
    <w:rsid w:val="51D2447D"/>
    <w:rsid w:val="51D85DE0"/>
    <w:rsid w:val="52A615AA"/>
    <w:rsid w:val="52BE290F"/>
    <w:rsid w:val="530544D9"/>
    <w:rsid w:val="53396151"/>
    <w:rsid w:val="53EC2FDD"/>
    <w:rsid w:val="54BF06E7"/>
    <w:rsid w:val="55B54C40"/>
    <w:rsid w:val="563D2DF9"/>
    <w:rsid w:val="5644517F"/>
    <w:rsid w:val="56551FBB"/>
    <w:rsid w:val="5660407C"/>
    <w:rsid w:val="568127E1"/>
    <w:rsid w:val="56894EF6"/>
    <w:rsid w:val="56DE3B01"/>
    <w:rsid w:val="56E807F7"/>
    <w:rsid w:val="56F66FEF"/>
    <w:rsid w:val="57C465C3"/>
    <w:rsid w:val="58A460A9"/>
    <w:rsid w:val="59617456"/>
    <w:rsid w:val="59A259F9"/>
    <w:rsid w:val="59C671F1"/>
    <w:rsid w:val="5A13729A"/>
    <w:rsid w:val="5A4328C0"/>
    <w:rsid w:val="5A805C67"/>
    <w:rsid w:val="5ADD2512"/>
    <w:rsid w:val="5BA9449C"/>
    <w:rsid w:val="5CB45A2A"/>
    <w:rsid w:val="5D046BE5"/>
    <w:rsid w:val="5D0E27A0"/>
    <w:rsid w:val="5D3618FC"/>
    <w:rsid w:val="5D690825"/>
    <w:rsid w:val="5D8F0A74"/>
    <w:rsid w:val="5ED6646C"/>
    <w:rsid w:val="5EDE0687"/>
    <w:rsid w:val="5F7A0AD2"/>
    <w:rsid w:val="5FDC7DFC"/>
    <w:rsid w:val="5FE67700"/>
    <w:rsid w:val="5FFD6CBE"/>
    <w:rsid w:val="601016BA"/>
    <w:rsid w:val="603B1575"/>
    <w:rsid w:val="607C2EB9"/>
    <w:rsid w:val="60CB0177"/>
    <w:rsid w:val="60D44244"/>
    <w:rsid w:val="60E65377"/>
    <w:rsid w:val="611D27B4"/>
    <w:rsid w:val="612D3550"/>
    <w:rsid w:val="62C4424A"/>
    <w:rsid w:val="6341005E"/>
    <w:rsid w:val="63CB3FDA"/>
    <w:rsid w:val="63E91A0B"/>
    <w:rsid w:val="64B82F8C"/>
    <w:rsid w:val="65324691"/>
    <w:rsid w:val="65FA67C6"/>
    <w:rsid w:val="661C5F5F"/>
    <w:rsid w:val="66371B75"/>
    <w:rsid w:val="665A336B"/>
    <w:rsid w:val="66673F02"/>
    <w:rsid w:val="66782527"/>
    <w:rsid w:val="66EE7955"/>
    <w:rsid w:val="6840217E"/>
    <w:rsid w:val="689F56A7"/>
    <w:rsid w:val="68E05EC6"/>
    <w:rsid w:val="692B4B92"/>
    <w:rsid w:val="692F424B"/>
    <w:rsid w:val="69714054"/>
    <w:rsid w:val="69B41A0B"/>
    <w:rsid w:val="6A0251AA"/>
    <w:rsid w:val="6A4A515B"/>
    <w:rsid w:val="6A4D572F"/>
    <w:rsid w:val="6A8665B4"/>
    <w:rsid w:val="6AA11AF4"/>
    <w:rsid w:val="6AB85A61"/>
    <w:rsid w:val="6B1535AA"/>
    <w:rsid w:val="6C172068"/>
    <w:rsid w:val="6C2D283E"/>
    <w:rsid w:val="6CF45023"/>
    <w:rsid w:val="6DED2E77"/>
    <w:rsid w:val="6EB95E08"/>
    <w:rsid w:val="6ECF0729"/>
    <w:rsid w:val="6EF938AD"/>
    <w:rsid w:val="6F164B9B"/>
    <w:rsid w:val="6F5C5077"/>
    <w:rsid w:val="6F6A7162"/>
    <w:rsid w:val="6F8857C7"/>
    <w:rsid w:val="71372F2A"/>
    <w:rsid w:val="71894DC5"/>
    <w:rsid w:val="71D849DE"/>
    <w:rsid w:val="71DC630C"/>
    <w:rsid w:val="71ED20EC"/>
    <w:rsid w:val="724C3768"/>
    <w:rsid w:val="72D0311D"/>
    <w:rsid w:val="73742597"/>
    <w:rsid w:val="73DF57F8"/>
    <w:rsid w:val="74747F91"/>
    <w:rsid w:val="756F1C73"/>
    <w:rsid w:val="757B6CB4"/>
    <w:rsid w:val="75990572"/>
    <w:rsid w:val="75CA612B"/>
    <w:rsid w:val="75EB0587"/>
    <w:rsid w:val="77CA6A9F"/>
    <w:rsid w:val="788B75C0"/>
    <w:rsid w:val="78935DA5"/>
    <w:rsid w:val="78AF7ECB"/>
    <w:rsid w:val="78E50933"/>
    <w:rsid w:val="794D744F"/>
    <w:rsid w:val="79AD1584"/>
    <w:rsid w:val="79DC198D"/>
    <w:rsid w:val="7A3B3055"/>
    <w:rsid w:val="7A576896"/>
    <w:rsid w:val="7AF83B46"/>
    <w:rsid w:val="7AFC22B1"/>
    <w:rsid w:val="7B1311DB"/>
    <w:rsid w:val="7B19628B"/>
    <w:rsid w:val="7C2D2DE6"/>
    <w:rsid w:val="7C2E4BEF"/>
    <w:rsid w:val="7C440ED5"/>
    <w:rsid w:val="7C724522"/>
    <w:rsid w:val="7D795703"/>
    <w:rsid w:val="7DD372AE"/>
    <w:rsid w:val="7E0C1725"/>
    <w:rsid w:val="7E6629F6"/>
    <w:rsid w:val="7F2655E1"/>
    <w:rsid w:val="7F371A46"/>
    <w:rsid w:val="7F6142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kern w:val="44"/>
      <w:sz w:val="48"/>
      <w:szCs w:val="48"/>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qFormat/>
    <w:uiPriority w:val="0"/>
    <w:pPr>
      <w:tabs>
        <w:tab w:val="left" w:pos="8400"/>
      </w:tabs>
      <w:adjustRightInd w:val="0"/>
      <w:spacing w:line="520" w:lineRule="atLeast"/>
      <w:ind w:firstLine="600"/>
      <w:jc w:val="left"/>
      <w:textAlignment w:val="baseline"/>
    </w:pPr>
    <w:rPr>
      <w:kern w:val="0"/>
      <w:sz w:val="28"/>
      <w:szCs w:val="20"/>
    </w:rPr>
  </w:style>
  <w:style w:type="paragraph" w:styleId="4">
    <w:name w:val="Body Text Indent 2"/>
    <w:basedOn w:val="1"/>
    <w:link w:val="11"/>
    <w:qFormat/>
    <w:uiPriority w:val="0"/>
    <w:pPr>
      <w:spacing w:after="120" w:line="480" w:lineRule="auto"/>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正文文本缩进 2 Char"/>
    <w:basedOn w:val="10"/>
    <w:link w:val="4"/>
    <w:qFormat/>
    <w:uiPriority w:val="0"/>
    <w:rPr>
      <w:kern w:val="2"/>
      <w:sz w:val="21"/>
      <w:szCs w:val="24"/>
    </w:rPr>
  </w:style>
  <w:style w:type="paragraph" w:customStyle="1" w:styleId="12">
    <w:name w:val="p0"/>
    <w:basedOn w:val="1"/>
    <w:qFormat/>
    <w:uiPriority w:val="0"/>
    <w:pPr>
      <w:widowControl/>
    </w:pPr>
    <w:rPr>
      <w:rFonts w:ascii="Calibri" w:hAnsi="Calibri"/>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98CCDE-FC07-4774-A66D-76D67767AECE}">
  <ds:schemaRefs/>
</ds:datastoreItem>
</file>

<file path=docProps/app.xml><?xml version="1.0" encoding="utf-8"?>
<Properties xmlns="http://schemas.openxmlformats.org/officeDocument/2006/extended-properties" xmlns:vt="http://schemas.openxmlformats.org/officeDocument/2006/docPropsVTypes">
  <Template>Normal</Template>
  <Pages>30</Pages>
  <Words>14690</Words>
  <Characters>15856</Characters>
  <Lines>62</Lines>
  <Paragraphs>17</Paragraphs>
  <TotalTime>9</TotalTime>
  <ScaleCrop>false</ScaleCrop>
  <LinksUpToDate>false</LinksUpToDate>
  <CharactersWithSpaces>16040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RYJT</dc:creator>
  <cp:lastModifiedBy>龙二SETI@home</cp:lastModifiedBy>
  <cp:lastPrinted>2021-09-26T06:46:00Z</cp:lastPrinted>
  <dcterms:modified xsi:type="dcterms:W3CDTF">2022-09-17T01:13:49Z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KSOSaveFontToCloudKey">
    <vt:lpwstr>428865292_btnclosed</vt:lpwstr>
  </property>
  <property fmtid="{D5CDD505-2E9C-101B-9397-08002B2CF9AE}" pid="4" name="ICV">
    <vt:lpwstr>F20BD19235ED40A2B91FE607B3D7A586</vt:lpwstr>
  </property>
</Properties>
</file>